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050D8" w14:textId="09299AF2" w:rsidR="00E03201" w:rsidRPr="00F22E42" w:rsidRDefault="00E03201" w:rsidP="00F22E42">
      <w:pPr>
        <w:widowControl w:val="0"/>
        <w:spacing w:line="360" w:lineRule="auto"/>
        <w:jc w:val="center"/>
        <w:rPr>
          <w:rFonts w:ascii="Calibri" w:hAnsi="Calibri"/>
          <w:bCs/>
          <w:sz w:val="32"/>
          <w:szCs w:val="32"/>
          <w:lang w:val="ro-RO" w:eastAsia="ru-RU"/>
        </w:rPr>
      </w:pPr>
      <w:r w:rsidRPr="0030124E">
        <w:rPr>
          <w:rFonts w:ascii="Calibri" w:hAnsi="Calibri"/>
          <w:bCs/>
          <w:sz w:val="32"/>
          <w:szCs w:val="32"/>
          <w:lang w:val="ro-RO" w:eastAsia="ru-RU"/>
        </w:rPr>
        <w:t>“R o m â n i a   D u r a b i l ă” (S I P O C A   6 1 3 )</w:t>
      </w:r>
      <w:bookmarkStart w:id="0" w:name="_GoBack"/>
      <w:bookmarkEnd w:id="0"/>
    </w:p>
    <w:p w14:paraId="25EA36ED" w14:textId="77777777" w:rsidR="00E03201" w:rsidRPr="0030124E" w:rsidRDefault="00E03201" w:rsidP="00E03201">
      <w:pPr>
        <w:widowControl w:val="0"/>
        <w:spacing w:line="360" w:lineRule="auto"/>
        <w:jc w:val="center"/>
        <w:rPr>
          <w:rFonts w:ascii="Calibri" w:hAnsi="Calibri"/>
          <w:b/>
          <w:sz w:val="32"/>
          <w:szCs w:val="32"/>
          <w:lang w:val="ro-RO" w:eastAsia="ru-RU"/>
        </w:rPr>
      </w:pPr>
      <w:r w:rsidRPr="0030124E">
        <w:rPr>
          <w:rFonts w:ascii="Calibri" w:hAnsi="Calibri"/>
          <w:b/>
          <w:sz w:val="32"/>
          <w:szCs w:val="32"/>
          <w:lang w:val="ro-RO" w:eastAsia="ru-RU"/>
        </w:rPr>
        <w:t>Analiză</w:t>
      </w:r>
    </w:p>
    <w:p w14:paraId="6C32AE19" w14:textId="1959128E" w:rsidR="00E03201" w:rsidRPr="00F22E42" w:rsidRDefault="00E03201" w:rsidP="00F22E42">
      <w:pPr>
        <w:spacing w:line="360" w:lineRule="auto"/>
        <w:jc w:val="center"/>
        <w:rPr>
          <w:rFonts w:ascii="Calibri" w:hAnsi="Calibri"/>
          <w:b/>
          <w:bCs/>
          <w:sz w:val="32"/>
          <w:szCs w:val="32"/>
          <w:lang w:val="ro-RO"/>
        </w:rPr>
      </w:pPr>
      <w:r w:rsidRPr="0030124E">
        <w:rPr>
          <w:rFonts w:ascii="Calibri" w:hAnsi="Calibri"/>
          <w:b/>
          <w:bCs/>
          <w:sz w:val="32"/>
          <w:szCs w:val="32"/>
          <w:lang w:val="ro-RO"/>
        </w:rPr>
        <w:t>“</w:t>
      </w:r>
      <w:r w:rsidR="0030124E" w:rsidRPr="00237B1F">
        <w:rPr>
          <w:lang w:val="ro-RO"/>
        </w:rPr>
        <w:t xml:space="preserve"> </w:t>
      </w:r>
      <w:r w:rsidR="0030124E" w:rsidRPr="0030124E">
        <w:rPr>
          <w:rFonts w:ascii="Calibri" w:hAnsi="Calibri"/>
          <w:b/>
          <w:bCs/>
          <w:sz w:val="32"/>
          <w:szCs w:val="32"/>
          <w:lang w:val="ro-RO"/>
        </w:rPr>
        <w:t>Evoluții în timp ale indicatori subiectivi vs. indicatori naționali – Energie</w:t>
      </w:r>
      <w:r w:rsidRPr="0030124E">
        <w:rPr>
          <w:rFonts w:ascii="Calibri" w:hAnsi="Calibri"/>
          <w:b/>
          <w:bCs/>
          <w:sz w:val="32"/>
          <w:szCs w:val="32"/>
          <w:lang w:val="ro-RO"/>
        </w:rPr>
        <w:t>”</w:t>
      </w:r>
    </w:p>
    <w:p w14:paraId="6F4DF296" w14:textId="573F19F8" w:rsidR="00E03201" w:rsidRPr="0030124E" w:rsidRDefault="00E03201" w:rsidP="00E03201">
      <w:pPr>
        <w:widowControl w:val="0"/>
        <w:spacing w:line="360" w:lineRule="auto"/>
        <w:jc w:val="center"/>
        <w:rPr>
          <w:rFonts w:ascii="Calibri" w:hAnsi="Calibri"/>
          <w:bCs/>
          <w:sz w:val="32"/>
          <w:szCs w:val="40"/>
          <w:lang w:val="ro-RO" w:eastAsia="ru-RU"/>
        </w:rPr>
      </w:pPr>
      <w:r w:rsidRPr="0030124E">
        <w:rPr>
          <w:rFonts w:ascii="Calibri" w:hAnsi="Calibri"/>
          <w:bCs/>
          <w:sz w:val="32"/>
          <w:szCs w:val="40"/>
          <w:lang w:val="ro-RO" w:eastAsia="ru-RU"/>
        </w:rPr>
        <w:t>RD</w:t>
      </w:r>
      <w:r w:rsidR="0030124E" w:rsidRPr="0030124E">
        <w:rPr>
          <w:rFonts w:ascii="Calibri" w:hAnsi="Calibri"/>
          <w:bCs/>
          <w:sz w:val="32"/>
          <w:szCs w:val="40"/>
          <w:lang w:val="ro-RO" w:eastAsia="ru-RU"/>
        </w:rPr>
        <w:t>3</w:t>
      </w:r>
      <w:r w:rsidRPr="0030124E">
        <w:rPr>
          <w:rFonts w:ascii="Calibri" w:hAnsi="Calibri"/>
          <w:bCs/>
          <w:sz w:val="32"/>
          <w:szCs w:val="40"/>
          <w:lang w:val="ro-RO" w:eastAsia="ru-RU"/>
        </w:rPr>
        <w:t>2 (decembrie 202</w:t>
      </w:r>
      <w:r w:rsidR="0030124E" w:rsidRPr="0030124E">
        <w:rPr>
          <w:rFonts w:ascii="Calibri" w:hAnsi="Calibri"/>
          <w:bCs/>
          <w:sz w:val="32"/>
          <w:szCs w:val="40"/>
          <w:lang w:val="ro-RO" w:eastAsia="ru-RU"/>
        </w:rPr>
        <w:t>1 – ianuarie 2022</w:t>
      </w:r>
      <w:r w:rsidRPr="0030124E">
        <w:rPr>
          <w:rFonts w:ascii="Calibri" w:hAnsi="Calibri"/>
          <w:bCs/>
          <w:sz w:val="32"/>
          <w:szCs w:val="40"/>
          <w:lang w:val="ro-RO" w:eastAsia="ru-RU"/>
        </w:rPr>
        <w:t>)</w:t>
      </w:r>
    </w:p>
    <w:p w14:paraId="1C6047ED" w14:textId="77777777" w:rsidR="00E03201" w:rsidRPr="0030124E" w:rsidRDefault="00E03201" w:rsidP="00E03201">
      <w:pPr>
        <w:widowControl w:val="0"/>
        <w:spacing w:line="360" w:lineRule="auto"/>
        <w:jc w:val="center"/>
        <w:rPr>
          <w:rFonts w:ascii="Calibri" w:hAnsi="Calibri"/>
          <w:bCs/>
          <w:sz w:val="32"/>
          <w:szCs w:val="40"/>
          <w:lang w:val="ro-RO" w:eastAsia="ru-RU"/>
        </w:rPr>
      </w:pPr>
      <w:r w:rsidRPr="0030124E">
        <w:rPr>
          <w:rFonts w:ascii="Calibri" w:hAnsi="Calibri"/>
          <w:bCs/>
          <w:sz w:val="32"/>
          <w:szCs w:val="40"/>
          <w:lang w:val="ro-RO" w:eastAsia="ru-RU"/>
        </w:rPr>
        <w:t>Livrabil</w:t>
      </w:r>
    </w:p>
    <w:p w14:paraId="053E5F1C" w14:textId="7765D995" w:rsidR="00E03201" w:rsidRPr="00F22E42" w:rsidRDefault="00E03201" w:rsidP="00F22E42">
      <w:pPr>
        <w:widowControl w:val="0"/>
        <w:spacing w:line="360" w:lineRule="auto"/>
        <w:jc w:val="center"/>
        <w:rPr>
          <w:rFonts w:ascii="Calibri" w:hAnsi="Calibri"/>
          <w:bCs/>
          <w:sz w:val="32"/>
          <w:szCs w:val="40"/>
          <w:lang w:val="ro-RO" w:eastAsia="ro-RO"/>
        </w:rPr>
      </w:pPr>
      <w:r w:rsidRPr="0030124E">
        <w:rPr>
          <w:rFonts w:ascii="Calibri" w:hAnsi="Calibri"/>
          <w:bCs/>
          <w:sz w:val="32"/>
          <w:szCs w:val="40"/>
          <w:lang w:val="ro-RO" w:eastAsia="ru-RU"/>
        </w:rPr>
        <w:t xml:space="preserve">luna </w:t>
      </w:r>
      <w:r w:rsidR="0030124E" w:rsidRPr="0030124E">
        <w:rPr>
          <w:rFonts w:ascii="Calibri" w:hAnsi="Calibri"/>
          <w:bCs/>
          <w:sz w:val="32"/>
          <w:szCs w:val="40"/>
          <w:lang w:val="ro-RO" w:eastAsia="ru-RU"/>
        </w:rPr>
        <w:t xml:space="preserve">iulie </w:t>
      </w:r>
      <w:r w:rsidRPr="0030124E">
        <w:rPr>
          <w:rFonts w:ascii="Calibri" w:hAnsi="Calibri"/>
          <w:bCs/>
          <w:sz w:val="32"/>
          <w:szCs w:val="40"/>
          <w:lang w:val="ro-RO" w:eastAsia="ru-RU"/>
        </w:rPr>
        <w:t>202</w:t>
      </w:r>
      <w:r w:rsidR="0030124E" w:rsidRPr="0030124E">
        <w:rPr>
          <w:rFonts w:ascii="Calibri" w:hAnsi="Calibri"/>
          <w:bCs/>
          <w:sz w:val="32"/>
          <w:szCs w:val="40"/>
          <w:lang w:val="ro-RO" w:eastAsia="ru-RU"/>
        </w:rPr>
        <w:t>2</w:t>
      </w:r>
    </w:p>
    <w:p w14:paraId="44D3649A" w14:textId="77777777" w:rsidR="00E03201" w:rsidRPr="0030124E" w:rsidRDefault="00E03201" w:rsidP="00E03201">
      <w:pPr>
        <w:widowControl w:val="0"/>
        <w:spacing w:line="360" w:lineRule="auto"/>
        <w:ind w:left="360"/>
        <w:jc w:val="both"/>
        <w:rPr>
          <w:rFonts w:ascii="Calibri" w:hAnsi="Calibri"/>
          <w:b/>
          <w:bCs/>
          <w:lang w:val="ro-RO"/>
        </w:rPr>
      </w:pPr>
      <w:r w:rsidRPr="0030124E">
        <w:rPr>
          <w:rFonts w:ascii="Calibri" w:hAnsi="Calibri"/>
          <w:b/>
          <w:bCs/>
          <w:lang w:val="ro-RO"/>
        </w:rPr>
        <w:t>ACTIVITATEA A9</w:t>
      </w:r>
    </w:p>
    <w:p w14:paraId="7CC740F5" w14:textId="77777777" w:rsidR="00E03201" w:rsidRPr="0030124E" w:rsidRDefault="00E03201" w:rsidP="00E03201">
      <w:pPr>
        <w:widowControl w:val="0"/>
        <w:spacing w:line="360" w:lineRule="auto"/>
        <w:ind w:left="360"/>
        <w:jc w:val="both"/>
        <w:rPr>
          <w:rFonts w:ascii="Calibri" w:hAnsi="Calibri"/>
          <w:b/>
          <w:bCs/>
          <w:lang w:val="ro-RO"/>
        </w:rPr>
      </w:pPr>
      <w:r w:rsidRPr="0030124E">
        <w:rPr>
          <w:rFonts w:ascii="Calibri" w:hAnsi="Calibri"/>
          <w:b/>
          <w:bCs/>
          <w:lang w:val="ro-RO"/>
        </w:rPr>
        <w:t xml:space="preserve">Elaborarea a minim 50 de barometre de opinie periodice realizate prin </w:t>
      </w:r>
      <w:r w:rsidRPr="0030124E">
        <w:rPr>
          <w:rFonts w:ascii="Calibri" w:hAnsi="Calibri"/>
          <w:b/>
          <w:bCs/>
          <w:lang w:val="ro-RO"/>
        </w:rPr>
        <w:br/>
        <w:t xml:space="preserve">sondarea percepției publice si dezvoltarea unor module pentru analize mixte – </w:t>
      </w:r>
      <w:r w:rsidRPr="0030124E">
        <w:rPr>
          <w:rFonts w:ascii="Calibri" w:hAnsi="Calibri"/>
          <w:b/>
          <w:bCs/>
          <w:lang w:val="ro-RO"/>
        </w:rPr>
        <w:br/>
        <w:t>combinații de indicatori hard si indicatori noi</w:t>
      </w:r>
    </w:p>
    <w:p w14:paraId="2EC90BF8" w14:textId="5EB9A16B" w:rsidR="00E03201" w:rsidRPr="00F22E42" w:rsidRDefault="00E03201" w:rsidP="00F22E42">
      <w:pPr>
        <w:widowControl w:val="0"/>
        <w:spacing w:line="360" w:lineRule="auto"/>
        <w:ind w:left="360"/>
        <w:rPr>
          <w:rFonts w:ascii="Calibri" w:hAnsi="Calibri"/>
          <w:bCs/>
          <w:lang w:val="ro-RO"/>
        </w:rPr>
      </w:pPr>
      <w:r w:rsidRPr="0030124E">
        <w:rPr>
          <w:rFonts w:ascii="Calibri" w:hAnsi="Calibri"/>
          <w:bCs/>
          <w:lang w:val="ro-RO"/>
        </w:rPr>
        <w:t xml:space="preserve">SUBACTIVITATEA A9.2. Elaborarea periodică a unei lucrări narative de prezentare și informare bazată pe materialele de tip flash – </w:t>
      </w:r>
      <w:proofErr w:type="spellStart"/>
      <w:r w:rsidRPr="0030124E">
        <w:rPr>
          <w:rFonts w:ascii="Calibri" w:hAnsi="Calibri"/>
          <w:bCs/>
          <w:lang w:val="ro-RO"/>
        </w:rPr>
        <w:t>news</w:t>
      </w:r>
      <w:proofErr w:type="spellEnd"/>
      <w:r w:rsidRPr="0030124E">
        <w:rPr>
          <w:rFonts w:ascii="Calibri" w:hAnsi="Calibri"/>
          <w:bCs/>
          <w:lang w:val="ro-RO"/>
        </w:rPr>
        <w:t>.</w:t>
      </w:r>
    </w:p>
    <w:p w14:paraId="71DCFA2A" w14:textId="77777777" w:rsidR="00E03201" w:rsidRPr="0030124E" w:rsidRDefault="00E03201" w:rsidP="00E03201">
      <w:pPr>
        <w:widowControl w:val="0"/>
        <w:spacing w:line="360" w:lineRule="auto"/>
        <w:rPr>
          <w:rFonts w:ascii="Calibri" w:hAnsi="Calibri"/>
          <w:lang w:val="ro-RO"/>
        </w:rPr>
      </w:pPr>
      <w:r w:rsidRPr="0030124E">
        <w:rPr>
          <w:rFonts w:ascii="Calibri" w:hAnsi="Calibri"/>
          <w:b/>
          <w:bCs/>
          <w:lang w:val="ro-RO"/>
        </w:rPr>
        <w:t xml:space="preserve">Elaborat de: </w:t>
      </w:r>
      <w:r w:rsidRPr="0030124E">
        <w:rPr>
          <w:rFonts w:ascii="Calibri" w:hAnsi="Calibri"/>
          <w:lang w:val="ro-RO"/>
        </w:rPr>
        <w:t>Costin Ciobanu, Expert analiză indicatori subiectivi de tip economic</w:t>
      </w:r>
    </w:p>
    <w:p w14:paraId="457622A1" w14:textId="7DB72DD2" w:rsidR="00E03201" w:rsidRPr="0030124E" w:rsidRDefault="00E03201" w:rsidP="00E03201">
      <w:pPr>
        <w:widowControl w:val="0"/>
        <w:spacing w:before="120" w:after="120"/>
        <w:rPr>
          <w:rFonts w:ascii="Calibri" w:hAnsi="Calibri"/>
          <w:lang w:val="ro-RO"/>
        </w:rPr>
      </w:pPr>
      <w:r w:rsidRPr="0030124E">
        <w:rPr>
          <w:rFonts w:ascii="Calibri" w:hAnsi="Calibri"/>
          <w:lang w:val="ro-RO"/>
        </w:rPr>
        <w:t xml:space="preserve">Data: </w:t>
      </w:r>
      <w:r w:rsidR="0030124E" w:rsidRPr="0030124E">
        <w:rPr>
          <w:rFonts w:ascii="Calibri" w:hAnsi="Calibri"/>
          <w:lang w:val="ro-RO"/>
        </w:rPr>
        <w:t>31</w:t>
      </w:r>
      <w:r w:rsidRPr="0030124E">
        <w:rPr>
          <w:rFonts w:ascii="Calibri" w:hAnsi="Calibri"/>
          <w:lang w:val="ro-RO"/>
        </w:rPr>
        <w:t>/0</w:t>
      </w:r>
      <w:r w:rsidR="0030124E" w:rsidRPr="0030124E">
        <w:rPr>
          <w:rFonts w:ascii="Calibri" w:hAnsi="Calibri"/>
          <w:lang w:val="ro-RO"/>
        </w:rPr>
        <w:t>7</w:t>
      </w:r>
      <w:r w:rsidRPr="0030124E">
        <w:rPr>
          <w:rFonts w:ascii="Calibri" w:hAnsi="Calibri"/>
          <w:lang w:val="ro-RO"/>
        </w:rPr>
        <w:t>/202</w:t>
      </w:r>
      <w:r w:rsidR="00237B1F">
        <w:rPr>
          <w:rFonts w:ascii="Calibri" w:hAnsi="Calibri"/>
          <w:lang w:val="ro-RO"/>
        </w:rPr>
        <w:t>2</w:t>
      </w:r>
    </w:p>
    <w:p w14:paraId="155656FB" w14:textId="2854DB80" w:rsidR="00E03201" w:rsidRPr="0030124E" w:rsidRDefault="00E03201" w:rsidP="00E03201">
      <w:pPr>
        <w:widowControl w:val="0"/>
        <w:spacing w:before="120" w:after="120"/>
        <w:rPr>
          <w:rFonts w:ascii="Calibri" w:hAnsi="Calibri"/>
          <w:lang w:val="ro-RO"/>
        </w:rPr>
      </w:pPr>
      <w:r w:rsidRPr="0030124E">
        <w:rPr>
          <w:rFonts w:ascii="Calibri" w:hAnsi="Calibri"/>
          <w:lang w:val="ro-RO"/>
        </w:rPr>
        <w:t xml:space="preserve">Locul de desfășurare: </w:t>
      </w:r>
      <w:r w:rsidRPr="0030124E">
        <w:rPr>
          <w:rFonts w:ascii="Calibri" w:hAnsi="Calibri"/>
          <w:lang w:val="ro-RO"/>
        </w:rPr>
        <w:tab/>
        <w:t>București</w:t>
      </w:r>
    </w:p>
    <w:p w14:paraId="2C539CE6" w14:textId="77777777" w:rsidR="00E03201" w:rsidRPr="0030124E" w:rsidRDefault="00E03201" w:rsidP="00E03201">
      <w:pPr>
        <w:widowControl w:val="0"/>
        <w:spacing w:before="120" w:after="120"/>
        <w:rPr>
          <w:rFonts w:ascii="Calibri" w:hAnsi="Calibri"/>
          <w:lang w:val="ro-RO"/>
        </w:rPr>
      </w:pPr>
      <w:r w:rsidRPr="0030124E">
        <w:rPr>
          <w:rFonts w:ascii="Calibri" w:hAnsi="Calibri"/>
          <w:lang w:val="ro-RO"/>
        </w:rPr>
        <w:t xml:space="preserve">Denumire proiect: </w:t>
      </w:r>
      <w:r w:rsidRPr="0030124E">
        <w:rPr>
          <w:rFonts w:ascii="Calibri" w:hAnsi="Calibri"/>
          <w:lang w:val="ro-RO"/>
        </w:rPr>
        <w:tab/>
        <w:t>“România durabilă” - Dezvoltarea cadrului strategic</w:t>
      </w:r>
      <w:r w:rsidRPr="0030124E">
        <w:rPr>
          <w:rFonts w:ascii="Calibri" w:hAnsi="Calibri"/>
          <w:lang w:val="ro-RO"/>
        </w:rPr>
        <w:br/>
        <w:t xml:space="preserve"> </w:t>
      </w:r>
      <w:r w:rsidRPr="0030124E">
        <w:rPr>
          <w:rFonts w:ascii="Calibri" w:hAnsi="Calibri"/>
          <w:lang w:val="ro-RO"/>
        </w:rPr>
        <w:tab/>
      </w:r>
      <w:r w:rsidRPr="0030124E">
        <w:rPr>
          <w:rFonts w:ascii="Calibri" w:hAnsi="Calibri"/>
          <w:lang w:val="ro-RO"/>
        </w:rPr>
        <w:tab/>
      </w:r>
      <w:r w:rsidRPr="0030124E">
        <w:rPr>
          <w:rFonts w:ascii="Calibri" w:hAnsi="Calibri"/>
          <w:lang w:val="ro-RO"/>
        </w:rPr>
        <w:tab/>
        <w:t xml:space="preserve">și instituțional pentru implementarea </w:t>
      </w:r>
      <w:r w:rsidRPr="0030124E">
        <w:rPr>
          <w:rFonts w:ascii="Calibri" w:hAnsi="Calibri"/>
          <w:lang w:val="ro-RO"/>
        </w:rPr>
        <w:br/>
        <w:t xml:space="preserve"> </w:t>
      </w:r>
      <w:r w:rsidRPr="0030124E">
        <w:rPr>
          <w:rFonts w:ascii="Calibri" w:hAnsi="Calibri"/>
          <w:lang w:val="ro-RO"/>
        </w:rPr>
        <w:tab/>
      </w:r>
      <w:r w:rsidRPr="0030124E">
        <w:rPr>
          <w:rFonts w:ascii="Calibri" w:hAnsi="Calibri"/>
          <w:lang w:val="ro-RO"/>
        </w:rPr>
        <w:tab/>
      </w:r>
      <w:r w:rsidRPr="0030124E">
        <w:rPr>
          <w:rFonts w:ascii="Calibri" w:hAnsi="Calibri"/>
          <w:lang w:val="ro-RO"/>
        </w:rPr>
        <w:tab/>
        <w:t>Strategiei Naționale pentru Dezvoltarea Durabilă a României 2030”</w:t>
      </w:r>
    </w:p>
    <w:p w14:paraId="6BEE19C4" w14:textId="285F7023" w:rsidR="00E03201" w:rsidRPr="0030124E" w:rsidRDefault="00E03201" w:rsidP="00E03201">
      <w:pPr>
        <w:spacing w:line="360" w:lineRule="auto"/>
        <w:ind w:firstLine="567"/>
        <w:jc w:val="both"/>
        <w:rPr>
          <w:rFonts w:ascii="Calibri" w:hAnsi="Calibri"/>
          <w:lang w:val="ro-RO"/>
        </w:rPr>
      </w:pPr>
      <w:r w:rsidRPr="0030124E">
        <w:rPr>
          <w:rFonts w:ascii="Calibri" w:hAnsi="Calibri"/>
          <w:lang w:val="ro-RO"/>
        </w:rPr>
        <w:t xml:space="preserve">Cod proiect: </w:t>
      </w:r>
      <w:r w:rsidRPr="0030124E">
        <w:rPr>
          <w:rFonts w:ascii="Calibri" w:hAnsi="Calibri"/>
          <w:lang w:val="ro-RO"/>
        </w:rPr>
        <w:tab/>
        <w:t>SIPOCA 613</w:t>
      </w:r>
    </w:p>
    <w:p w14:paraId="52E43425" w14:textId="4283174F" w:rsidR="0030124E" w:rsidRPr="0030124E" w:rsidRDefault="0030124E" w:rsidP="0030124E">
      <w:pPr>
        <w:spacing w:line="360" w:lineRule="auto"/>
        <w:ind w:firstLine="567"/>
        <w:jc w:val="both"/>
        <w:rPr>
          <w:lang w:val="ro-RO"/>
        </w:rPr>
      </w:pPr>
      <w:r w:rsidRPr="0030124E">
        <w:rPr>
          <w:lang w:val="ro-RO"/>
        </w:rPr>
        <w:lastRenderedPageBreak/>
        <w:t xml:space="preserve">În cadrul Strategiei Naționale pentru Dezvoltarea Durabilă a României 2030, în acord cu obiectivele pentru dezvoltare durabilă stabilite la nivel internațional, România și-a propus </w:t>
      </w:r>
      <w:r w:rsidRPr="00B1697A">
        <w:rPr>
          <w:lang w:val="ro-RO"/>
        </w:rPr>
        <w:t>“</w:t>
      </w:r>
      <w:r w:rsidRPr="0030124E">
        <w:rPr>
          <w:lang w:val="ro-RO"/>
        </w:rPr>
        <w:t>a</w:t>
      </w:r>
      <w:r w:rsidR="00D100F3" w:rsidRPr="0030124E">
        <w:rPr>
          <w:lang w:val="ro-RO"/>
        </w:rPr>
        <w:t>sigurarea accesului tuturor la energie la prețuri accesibile, într-un mod sigur, durabil și modern</w:t>
      </w:r>
      <w:r w:rsidRPr="0030124E">
        <w:rPr>
          <w:lang w:val="ro-RO"/>
        </w:rPr>
        <w:t xml:space="preserve">” (p. 51). Acest obiectiv general este operaționalizat, în Strategie, prin ideea potrivit căreia </w:t>
      </w:r>
      <w:r w:rsidRPr="00B1697A">
        <w:rPr>
          <w:lang w:val="ro-RO"/>
        </w:rPr>
        <w:t xml:space="preserve">“pentru a susține pe termen lung așteptările consumatorilor, sistemul energetic românesc </w:t>
      </w:r>
      <w:r>
        <w:rPr>
          <w:lang w:val="ro-RO"/>
        </w:rPr>
        <w:t>trebuie să devină mai robust din punct de vedere economic, mai avansat și mai flexibil din punct de vedere tehnologic și mai puțin poluant</w:t>
      </w:r>
      <w:r w:rsidRPr="00B1697A">
        <w:rPr>
          <w:lang w:val="ro-RO"/>
        </w:rPr>
        <w:t>”</w:t>
      </w:r>
      <w:r w:rsidRPr="0030124E">
        <w:rPr>
          <w:rStyle w:val="FootnoteReference"/>
          <w:lang w:val="ro-RO"/>
        </w:rPr>
        <w:t xml:space="preserve"> </w:t>
      </w:r>
      <w:r w:rsidRPr="0030124E">
        <w:rPr>
          <w:rStyle w:val="FootnoteReference"/>
          <w:lang w:val="ro-RO"/>
        </w:rPr>
        <w:footnoteReference w:id="1"/>
      </w:r>
      <w:r>
        <w:rPr>
          <w:lang w:val="ro-RO"/>
        </w:rPr>
        <w:t>.</w:t>
      </w:r>
    </w:p>
    <w:p w14:paraId="7DE59993" w14:textId="43A3BF4F" w:rsidR="001644A9" w:rsidRDefault="0010335D" w:rsidP="001644A9">
      <w:pPr>
        <w:spacing w:line="360" w:lineRule="auto"/>
        <w:ind w:firstLine="567"/>
        <w:jc w:val="both"/>
        <w:rPr>
          <w:lang w:val="ro-RO"/>
        </w:rPr>
      </w:pPr>
      <w:r w:rsidRPr="0030124E">
        <w:rPr>
          <w:lang w:val="ro-RO"/>
        </w:rPr>
        <w:t>Asupra acest</w:t>
      </w:r>
      <w:r w:rsidR="0030124E">
        <w:rPr>
          <w:lang w:val="ro-RO"/>
        </w:rPr>
        <w:t>e</w:t>
      </w:r>
      <w:r w:rsidRPr="0030124E">
        <w:rPr>
          <w:lang w:val="ro-RO"/>
        </w:rPr>
        <w:t xml:space="preserve">i </w:t>
      </w:r>
      <w:r w:rsidR="0030124E">
        <w:rPr>
          <w:lang w:val="ro-RO"/>
        </w:rPr>
        <w:t>tematici</w:t>
      </w:r>
      <w:r w:rsidRPr="0030124E">
        <w:rPr>
          <w:lang w:val="ro-RO"/>
        </w:rPr>
        <w:t xml:space="preserve"> ne vom referi în această analiză, care se centrează pe </w:t>
      </w:r>
      <w:r w:rsidR="0030124E">
        <w:rPr>
          <w:lang w:val="ro-RO"/>
        </w:rPr>
        <w:t>investigarea e</w:t>
      </w:r>
      <w:r w:rsidR="0030124E" w:rsidRPr="0030124E">
        <w:rPr>
          <w:lang w:val="ro-RO"/>
        </w:rPr>
        <w:t>voluții</w:t>
      </w:r>
      <w:r w:rsidR="0030124E">
        <w:rPr>
          <w:lang w:val="ro-RO"/>
        </w:rPr>
        <w:t>lor</w:t>
      </w:r>
      <w:r w:rsidR="0030124E" w:rsidRPr="0030124E">
        <w:rPr>
          <w:lang w:val="ro-RO"/>
        </w:rPr>
        <w:t xml:space="preserve"> în timp ale indicatori subiectivi </w:t>
      </w:r>
      <w:r w:rsidR="0030124E">
        <w:rPr>
          <w:lang w:val="ro-RO"/>
        </w:rPr>
        <w:t>și obiectivi</w:t>
      </w:r>
      <w:r w:rsidR="0030124E" w:rsidRPr="0030124E">
        <w:rPr>
          <w:lang w:val="ro-RO"/>
        </w:rPr>
        <w:t xml:space="preserve"> </w:t>
      </w:r>
      <w:r w:rsidR="0030124E">
        <w:rPr>
          <w:lang w:val="ro-RO"/>
        </w:rPr>
        <w:t>din domeniul energiei. În acest sens, vom avea în vedere atât indicatori obiectivi, cât și subiectivi.</w:t>
      </w:r>
      <w:r w:rsidR="00B1697A">
        <w:rPr>
          <w:lang w:val="ro-RO"/>
        </w:rPr>
        <w:t xml:space="preserve"> Din perspectivă obiectivă, cu ajutorul datelor furnizate de către Eurostat și </w:t>
      </w:r>
      <w:r w:rsidR="004C6CAA">
        <w:rPr>
          <w:lang w:val="ro-RO"/>
        </w:rPr>
        <w:t xml:space="preserve">de către </w:t>
      </w:r>
      <w:r w:rsidR="00B1697A">
        <w:rPr>
          <w:lang w:val="ro-RO"/>
        </w:rPr>
        <w:t xml:space="preserve">Institutul Național de Statistică (INS), vom analiza: </w:t>
      </w:r>
      <w:r w:rsidR="00A96AB1">
        <w:rPr>
          <w:lang w:val="ro-RO"/>
        </w:rPr>
        <w:t>1) proporția populației care nu-și poate încălzi locuința în mod adecvat; 2) ponderea energiei regenerabile în consumul final brut de energie; 3) energia termică distribuită pentru uz casnic in sistemul public; 4) lungimea totală a conductelor de distribuți</w:t>
      </w:r>
      <w:r w:rsidR="004C6CAA">
        <w:rPr>
          <w:lang w:val="ro-RO"/>
        </w:rPr>
        <w:t>e</w:t>
      </w:r>
      <w:r w:rsidR="00A96AB1">
        <w:rPr>
          <w:lang w:val="ro-RO"/>
        </w:rPr>
        <w:t xml:space="preserve"> a gazelor naturale; 5) situația gazelor naturale distribuite pentru uz casnic; 6) evoluția Indicelui Prețurilor de Consum</w:t>
      </w:r>
      <w:r w:rsidR="004C6CAA">
        <w:rPr>
          <w:lang w:val="ro-RO"/>
        </w:rPr>
        <w:t xml:space="preserve"> (IPC)</w:t>
      </w:r>
      <w:r w:rsidR="00A96AB1">
        <w:rPr>
          <w:lang w:val="ro-RO"/>
        </w:rPr>
        <w:t xml:space="preserve">, inclusiv pentru </w:t>
      </w:r>
      <w:r w:rsidR="001644A9">
        <w:rPr>
          <w:lang w:val="ro-RO"/>
        </w:rPr>
        <w:t>energie electrică, gaze naturale și încălzire</w:t>
      </w:r>
      <w:r w:rsidR="00392F4B">
        <w:rPr>
          <w:lang w:val="ro-RO"/>
        </w:rPr>
        <w:t xml:space="preserve"> </w:t>
      </w:r>
      <w:r w:rsidR="004C6CAA">
        <w:rPr>
          <w:lang w:val="ro-RO"/>
        </w:rPr>
        <w:t xml:space="preserve">furnizată în sistem public </w:t>
      </w:r>
      <w:r w:rsidR="00392F4B">
        <w:rPr>
          <w:lang w:val="ro-RO"/>
        </w:rPr>
        <w:t>centralizat</w:t>
      </w:r>
      <w:r w:rsidR="001644A9">
        <w:rPr>
          <w:lang w:val="ro-RO"/>
        </w:rPr>
        <w:t xml:space="preserve">; și 7) locuințele terminate în cursul anului după dotarea cu instalații. </w:t>
      </w:r>
      <w:r w:rsidRPr="0030124E">
        <w:rPr>
          <w:lang w:val="ro-RO"/>
        </w:rPr>
        <w:t xml:space="preserve">Din perspectivă subiectivă, </w:t>
      </w:r>
      <w:r w:rsidRPr="0030124E">
        <w:rPr>
          <w:lang w:val="ro-RO"/>
        </w:rPr>
        <w:lastRenderedPageBreak/>
        <w:t>vom avea în vedere sondaj</w:t>
      </w:r>
      <w:r w:rsidR="001644A9">
        <w:rPr>
          <w:lang w:val="ro-RO"/>
        </w:rPr>
        <w:t>e</w:t>
      </w:r>
      <w:r w:rsidRPr="0030124E">
        <w:rPr>
          <w:lang w:val="ro-RO"/>
        </w:rPr>
        <w:t>l</w:t>
      </w:r>
      <w:r w:rsidR="001644A9">
        <w:rPr>
          <w:lang w:val="ro-RO"/>
        </w:rPr>
        <w:t>e</w:t>
      </w:r>
      <w:r w:rsidRPr="0030124E">
        <w:rPr>
          <w:lang w:val="ro-RO"/>
        </w:rPr>
        <w:t xml:space="preserve"> de opinie </w:t>
      </w:r>
      <w:r w:rsidR="001644A9">
        <w:rPr>
          <w:lang w:val="ro-RO"/>
        </w:rPr>
        <w:t>RD12</w:t>
      </w:r>
      <w:r w:rsidR="001644A9">
        <w:rPr>
          <w:rStyle w:val="FootnoteReference"/>
          <w:lang w:val="ro-RO"/>
        </w:rPr>
        <w:footnoteReference w:id="2"/>
      </w:r>
      <w:r w:rsidR="001644A9">
        <w:rPr>
          <w:lang w:val="ro-RO"/>
        </w:rPr>
        <w:t xml:space="preserve"> și RD32</w:t>
      </w:r>
      <w:r w:rsidR="004C6CAA" w:rsidRPr="0030124E">
        <w:rPr>
          <w:rStyle w:val="FootnoteReference"/>
          <w:lang w:val="ro-RO"/>
        </w:rPr>
        <w:footnoteReference w:id="3"/>
      </w:r>
      <w:r w:rsidR="001644A9">
        <w:rPr>
          <w:lang w:val="ro-RO"/>
        </w:rPr>
        <w:t xml:space="preserve"> </w:t>
      </w:r>
      <w:r w:rsidRPr="0030124E">
        <w:rPr>
          <w:lang w:val="ro-RO"/>
        </w:rPr>
        <w:t>realizat</w:t>
      </w:r>
      <w:r w:rsidR="0076300D">
        <w:rPr>
          <w:lang w:val="ro-RO"/>
        </w:rPr>
        <w:t>e</w:t>
      </w:r>
      <w:r w:rsidRPr="0030124E">
        <w:rPr>
          <w:lang w:val="ro-RO"/>
        </w:rPr>
        <w:t xml:space="preserve"> în cadrul proiectului “România Durabilă” în </w:t>
      </w:r>
      <w:r w:rsidR="0076300D">
        <w:rPr>
          <w:lang w:val="ro-RO"/>
        </w:rPr>
        <w:t xml:space="preserve">decembrie 2020 și </w:t>
      </w:r>
      <w:r w:rsidRPr="0030124E">
        <w:rPr>
          <w:lang w:val="ro-RO"/>
        </w:rPr>
        <w:t>decembrie 202</w:t>
      </w:r>
      <w:r w:rsidR="001644A9">
        <w:rPr>
          <w:lang w:val="ro-RO"/>
        </w:rPr>
        <w:t>1 – ianuarie 2022</w:t>
      </w:r>
      <w:r w:rsidR="002976EB" w:rsidRPr="0030124E">
        <w:rPr>
          <w:lang w:val="ro-RO"/>
        </w:rPr>
        <w:t xml:space="preserve"> și vom analiza</w:t>
      </w:r>
      <w:r w:rsidR="001644A9">
        <w:rPr>
          <w:lang w:val="ro-RO"/>
        </w:rPr>
        <w:t xml:space="preserve"> patru componente principale</w:t>
      </w:r>
      <w:r w:rsidR="0076300D">
        <w:rPr>
          <w:lang w:val="ro-RO"/>
        </w:rPr>
        <w:t>, măsurate în ambele sondaje</w:t>
      </w:r>
      <w:r w:rsidR="00855974" w:rsidRPr="0030124E">
        <w:rPr>
          <w:lang w:val="ro-RO"/>
        </w:rPr>
        <w:t>:</w:t>
      </w:r>
      <w:r w:rsidR="002976EB" w:rsidRPr="0030124E">
        <w:rPr>
          <w:lang w:val="ro-RO"/>
        </w:rPr>
        <w:t xml:space="preserve"> </w:t>
      </w:r>
      <w:r w:rsidR="001644A9">
        <w:rPr>
          <w:lang w:val="ro-RO"/>
        </w:rPr>
        <w:t>1) evaluările cu privire la</w:t>
      </w:r>
      <w:r w:rsidR="002976EB" w:rsidRPr="0030124E">
        <w:rPr>
          <w:lang w:val="ro-RO"/>
        </w:rPr>
        <w:t xml:space="preserve"> energi</w:t>
      </w:r>
      <w:r w:rsidR="001644A9">
        <w:rPr>
          <w:lang w:val="ro-RO"/>
        </w:rPr>
        <w:t>a</w:t>
      </w:r>
      <w:r w:rsidR="002976EB" w:rsidRPr="0030124E">
        <w:rPr>
          <w:lang w:val="ro-RO"/>
        </w:rPr>
        <w:t xml:space="preserve"> electrică</w:t>
      </w:r>
      <w:r w:rsidR="001644A9">
        <w:rPr>
          <w:lang w:val="ro-RO"/>
        </w:rPr>
        <w:t>;</w:t>
      </w:r>
      <w:r w:rsidR="002976EB" w:rsidRPr="0030124E">
        <w:rPr>
          <w:lang w:val="ro-RO"/>
        </w:rPr>
        <w:t xml:space="preserve"> </w:t>
      </w:r>
      <w:r w:rsidR="001644A9">
        <w:rPr>
          <w:lang w:val="ro-RO"/>
        </w:rPr>
        <w:t xml:space="preserve">2) evaluările despre gazele naturale; 3) evaluările despre încălzirea locuințelor; și 4) </w:t>
      </w:r>
      <w:r w:rsidR="002976EB" w:rsidRPr="0030124E">
        <w:rPr>
          <w:lang w:val="ro-RO"/>
        </w:rPr>
        <w:t>comportamentul românilor legat de scăderea consumului energetic</w:t>
      </w:r>
      <w:r w:rsidR="001644A9">
        <w:rPr>
          <w:lang w:val="ro-RO"/>
        </w:rPr>
        <w:t>, tipul preferat de energie</w:t>
      </w:r>
      <w:r w:rsidR="002976EB" w:rsidRPr="0030124E">
        <w:rPr>
          <w:lang w:val="ro-RO"/>
        </w:rPr>
        <w:t xml:space="preserve"> și </w:t>
      </w:r>
      <w:r w:rsidR="001644A9">
        <w:rPr>
          <w:lang w:val="ro-RO"/>
        </w:rPr>
        <w:t>evaluarea prețurilor la energie</w:t>
      </w:r>
      <w:r w:rsidR="002976EB" w:rsidRPr="0030124E">
        <w:rPr>
          <w:lang w:val="ro-RO"/>
        </w:rPr>
        <w:t xml:space="preserve">. </w:t>
      </w:r>
      <w:r w:rsidR="001644A9">
        <w:rPr>
          <w:lang w:val="ro-RO"/>
        </w:rPr>
        <w:t>În acest fel, vom avea o abordare comparativă, care, temporal vorbind, se suprapune cu creșterea prețurilor la energie în România</w:t>
      </w:r>
      <w:r w:rsidR="004C6CAA">
        <w:rPr>
          <w:lang w:val="ro-RO"/>
        </w:rPr>
        <w:t xml:space="preserve"> din intervalul 2020 - 2022</w:t>
      </w:r>
      <w:r w:rsidR="001644A9">
        <w:rPr>
          <w:lang w:val="ro-RO"/>
        </w:rPr>
        <w:t>. Pentru a vedea ce stă în spatele acestor evaluări, vom investiga dacă aspecte socio-demografice explică aceste opinii colectate la nivel individual. În final, vom căuta să analizăm dacă evaluările sectoriale despre energie se corelează cu evaluări mai generale</w:t>
      </w:r>
      <w:r w:rsidR="00F10297">
        <w:rPr>
          <w:lang w:val="ro-RO"/>
        </w:rPr>
        <w:t xml:space="preserve"> precum cea despre direcția în care se îndreaptă România.</w:t>
      </w:r>
    </w:p>
    <w:p w14:paraId="018C01A1" w14:textId="77777777" w:rsidR="0039431C" w:rsidRDefault="0039431C" w:rsidP="0039431C">
      <w:pPr>
        <w:spacing w:line="360" w:lineRule="auto"/>
        <w:jc w:val="both"/>
        <w:rPr>
          <w:lang w:val="ro-RO"/>
        </w:rPr>
      </w:pPr>
    </w:p>
    <w:p w14:paraId="194759BD" w14:textId="4B59C37A" w:rsidR="00F10297" w:rsidRDefault="00F10297" w:rsidP="00F10297">
      <w:pPr>
        <w:spacing w:line="360" w:lineRule="auto"/>
        <w:jc w:val="center"/>
        <w:rPr>
          <w:b/>
          <w:bCs/>
          <w:lang w:val="ro-RO"/>
        </w:rPr>
      </w:pPr>
      <w:r w:rsidRPr="00F10297">
        <w:rPr>
          <w:b/>
          <w:bCs/>
          <w:lang w:val="ro-RO"/>
        </w:rPr>
        <w:t>Figura 1: Proporția populației care nu-și poate încălzi locuința în mod adecvat</w:t>
      </w:r>
    </w:p>
    <w:p w14:paraId="4DACF590" w14:textId="77777777" w:rsidR="0039431C" w:rsidRDefault="0039431C" w:rsidP="00F10297">
      <w:pPr>
        <w:spacing w:line="360" w:lineRule="auto"/>
        <w:jc w:val="center"/>
        <w:rPr>
          <w:b/>
          <w:bCs/>
          <w:lang w:val="ro-RO"/>
        </w:rPr>
      </w:pPr>
    </w:p>
    <w:p w14:paraId="5CEBDB2B" w14:textId="7B8DEF91" w:rsidR="00303535" w:rsidRPr="00B4425B" w:rsidRDefault="00063F68" w:rsidP="0039431C">
      <w:pPr>
        <w:spacing w:line="360" w:lineRule="auto"/>
        <w:jc w:val="center"/>
        <w:rPr>
          <w:b/>
          <w:bCs/>
          <w:lang w:val="ro-RO"/>
        </w:rPr>
      </w:pPr>
      <w:r>
        <w:rPr>
          <w:b/>
          <w:bCs/>
          <w:noProof/>
          <w:lang w:val="ro-RO"/>
        </w:rPr>
        <w:lastRenderedPageBreak/>
        <w:drawing>
          <wp:inline distT="0" distB="0" distL="0" distR="0" wp14:anchorId="01D46639" wp14:editId="41897B52">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BCBE9CF" w14:textId="77777777" w:rsidR="0039431C" w:rsidRDefault="0039431C" w:rsidP="0010335D">
      <w:pPr>
        <w:spacing w:line="360" w:lineRule="auto"/>
        <w:ind w:firstLine="567"/>
        <w:jc w:val="both"/>
        <w:rPr>
          <w:b/>
          <w:bCs/>
          <w:lang w:val="ro-RO"/>
        </w:rPr>
      </w:pPr>
    </w:p>
    <w:p w14:paraId="3C49953E" w14:textId="77777777" w:rsidR="004C6CAA" w:rsidRDefault="004C6CAA" w:rsidP="0039431C">
      <w:pPr>
        <w:spacing w:line="360" w:lineRule="auto"/>
        <w:jc w:val="both"/>
        <w:rPr>
          <w:b/>
          <w:bCs/>
          <w:lang w:val="ro-RO"/>
        </w:rPr>
      </w:pPr>
    </w:p>
    <w:p w14:paraId="048EA1CA" w14:textId="05265B30" w:rsidR="00F10297" w:rsidRPr="0039431C" w:rsidRDefault="00303535" w:rsidP="0039431C">
      <w:pPr>
        <w:spacing w:line="360" w:lineRule="auto"/>
        <w:ind w:firstLine="567"/>
        <w:jc w:val="both"/>
        <w:rPr>
          <w:b/>
          <w:bCs/>
          <w:lang w:val="ro-RO"/>
        </w:rPr>
      </w:pPr>
      <w:r w:rsidRPr="0030124E">
        <w:rPr>
          <w:b/>
          <w:bCs/>
          <w:lang w:val="ro-RO"/>
        </w:rPr>
        <w:t>Ce spun datele obiective</w:t>
      </w:r>
    </w:p>
    <w:p w14:paraId="12A0E81C" w14:textId="3AEC237F" w:rsidR="00F10297" w:rsidRDefault="00D1605A" w:rsidP="00F10297">
      <w:pPr>
        <w:spacing w:line="360" w:lineRule="auto"/>
        <w:ind w:firstLine="567"/>
        <w:jc w:val="both"/>
        <w:rPr>
          <w:lang w:val="ro-RO"/>
        </w:rPr>
      </w:pPr>
      <w:r>
        <w:rPr>
          <w:lang w:val="ro-RO"/>
        </w:rPr>
        <w:t>Primul aspect</w:t>
      </w:r>
      <w:r w:rsidR="00F10297" w:rsidRPr="0030124E">
        <w:rPr>
          <w:lang w:val="ro-RO"/>
        </w:rPr>
        <w:t xml:space="preserve"> pe care îl vom </w:t>
      </w:r>
      <w:r>
        <w:rPr>
          <w:lang w:val="ro-RO"/>
        </w:rPr>
        <w:t xml:space="preserve">investiga </w:t>
      </w:r>
      <w:r w:rsidR="00467823">
        <w:rPr>
          <w:lang w:val="ro-RO"/>
        </w:rPr>
        <w:t>este cel al</w:t>
      </w:r>
      <w:r>
        <w:rPr>
          <w:lang w:val="ro-RO"/>
        </w:rPr>
        <w:t xml:space="preserve"> </w:t>
      </w:r>
      <w:r w:rsidR="00F10297" w:rsidRPr="0030124E">
        <w:rPr>
          <w:lang w:val="ro-RO"/>
        </w:rPr>
        <w:t>proporți</w:t>
      </w:r>
      <w:r w:rsidR="00467823">
        <w:rPr>
          <w:lang w:val="ro-RO"/>
        </w:rPr>
        <w:t>ei</w:t>
      </w:r>
      <w:r w:rsidR="00F10297" w:rsidRPr="0030124E">
        <w:rPr>
          <w:lang w:val="ro-RO"/>
        </w:rPr>
        <w:t xml:space="preserve"> populației care nu-și poate încălzi locuința în mod adecvat, indicator care încearcă să surprindă parțial fenomenul sărăciei </w:t>
      </w:r>
      <w:r w:rsidR="00F10297" w:rsidRPr="0030124E">
        <w:rPr>
          <w:lang w:val="ro-RO"/>
        </w:rPr>
        <w:lastRenderedPageBreak/>
        <w:t>energetice. Datele sunt furnizate de către Eurostat</w:t>
      </w:r>
      <w:r>
        <w:rPr>
          <w:rStyle w:val="FootnoteReference"/>
          <w:lang w:val="ro-RO"/>
        </w:rPr>
        <w:footnoteReference w:id="4"/>
      </w:r>
      <w:r w:rsidR="00F10297" w:rsidRPr="0030124E">
        <w:rPr>
          <w:lang w:val="ro-RO"/>
        </w:rPr>
        <w:t xml:space="preserve">, </w:t>
      </w:r>
      <w:r w:rsidR="008F5DB1">
        <w:rPr>
          <w:lang w:val="ro-RO"/>
        </w:rPr>
        <w:t>se referă la</w:t>
      </w:r>
      <w:r w:rsidR="008F5DB1" w:rsidRPr="0030124E">
        <w:rPr>
          <w:lang w:val="ro-RO"/>
        </w:rPr>
        <w:t xml:space="preserve"> </w:t>
      </w:r>
      <w:r w:rsidR="00F10297" w:rsidRPr="0030124E">
        <w:rPr>
          <w:lang w:val="ro-RO"/>
        </w:rPr>
        <w:t>perioada 2005 – 20</w:t>
      </w:r>
      <w:r>
        <w:rPr>
          <w:lang w:val="ro-RO"/>
        </w:rPr>
        <w:t>21</w:t>
      </w:r>
      <w:r w:rsidR="00F10297" w:rsidRPr="0030124E">
        <w:rPr>
          <w:lang w:val="ro-RO"/>
        </w:rPr>
        <w:t xml:space="preserve"> și sunt prezentate </w:t>
      </w:r>
      <w:r w:rsidR="008F5DB1">
        <w:rPr>
          <w:lang w:val="ro-RO"/>
        </w:rPr>
        <w:t xml:space="preserve">grafic </w:t>
      </w:r>
      <w:r>
        <w:rPr>
          <w:lang w:val="ro-RO"/>
        </w:rPr>
        <w:t xml:space="preserve">în </w:t>
      </w:r>
      <w:r w:rsidR="00F10297" w:rsidRPr="0030124E">
        <w:rPr>
          <w:lang w:val="ro-RO"/>
        </w:rPr>
        <w:t xml:space="preserve">Figura </w:t>
      </w:r>
      <w:r>
        <w:rPr>
          <w:lang w:val="ro-RO"/>
        </w:rPr>
        <w:t>1</w:t>
      </w:r>
      <w:r w:rsidR="00F10297" w:rsidRPr="0030124E">
        <w:rPr>
          <w:lang w:val="ro-RO"/>
        </w:rPr>
        <w:t>.</w:t>
      </w:r>
    </w:p>
    <w:p w14:paraId="38D88D16" w14:textId="101A94B5" w:rsidR="00D1605A" w:rsidRDefault="00DD6F4C" w:rsidP="00F10297">
      <w:pPr>
        <w:spacing w:line="360" w:lineRule="auto"/>
        <w:ind w:firstLine="567"/>
        <w:jc w:val="both"/>
        <w:rPr>
          <w:lang w:val="ro-RO"/>
        </w:rPr>
      </w:pPr>
      <w:r>
        <w:rPr>
          <w:lang w:val="ro-RO"/>
        </w:rPr>
        <w:t xml:space="preserve">Evoluția în cazul României este una pozitivă: de la 33,3% din populație care în 2007 nu-și putea încălzi locuința în mod adecvat s-a ajuns, în 2021, la 10,1% - o scădere consistentă, de 23,2% puncte procentuale. </w:t>
      </w:r>
      <w:r w:rsidR="00F30D3F">
        <w:rPr>
          <w:lang w:val="ro-RO"/>
        </w:rPr>
        <w:t>Avem</w:t>
      </w:r>
      <w:r w:rsidR="008F5DB1">
        <w:rPr>
          <w:lang w:val="ro-RO"/>
        </w:rPr>
        <w:t>,</w:t>
      </w:r>
      <w:r w:rsidR="00F30D3F">
        <w:rPr>
          <w:lang w:val="ro-RO"/>
        </w:rPr>
        <w:t xml:space="preserve"> deci</w:t>
      </w:r>
      <w:r w:rsidR="008F5DB1">
        <w:rPr>
          <w:lang w:val="ro-RO"/>
        </w:rPr>
        <w:t>,</w:t>
      </w:r>
      <w:r w:rsidR="00F30D3F">
        <w:rPr>
          <w:lang w:val="ro-RO"/>
        </w:rPr>
        <w:t xml:space="preserve"> </w:t>
      </w:r>
      <w:r w:rsidR="008F5DB1">
        <w:rPr>
          <w:lang w:val="ro-RO"/>
        </w:rPr>
        <w:t xml:space="preserve">a </w:t>
      </w:r>
      <w:r w:rsidR="00F30D3F">
        <w:rPr>
          <w:lang w:val="ro-RO"/>
        </w:rPr>
        <w:t xml:space="preserve">remarca acest progres considerabil pe care România l-a făcut de la aderarea la Uniunea Europeană în ceea ce privește sărăcia energetică. Rămâne de văzut ce se va întâmpla în acest an și în anii următori, după creșterea substanțială a prețului a energie care este </w:t>
      </w:r>
      <w:r w:rsidR="008F5DB1">
        <w:rPr>
          <w:lang w:val="ro-RO"/>
        </w:rPr>
        <w:t xml:space="preserve">astăzi </w:t>
      </w:r>
      <w:r w:rsidR="00F30D3F">
        <w:rPr>
          <w:lang w:val="ro-RO"/>
        </w:rPr>
        <w:t>suportată de fiecare român.</w:t>
      </w:r>
      <w:r w:rsidR="00C26D9D">
        <w:rPr>
          <w:lang w:val="ro-RO"/>
        </w:rPr>
        <w:t xml:space="preserve"> Este important să privim lucrurile nu doar prin prisma evoluției temporare, dar și comparativ. </w:t>
      </w:r>
      <w:r w:rsidR="008F5DB1">
        <w:rPr>
          <w:lang w:val="ro-RO"/>
        </w:rPr>
        <w:t xml:space="preserve">În </w:t>
      </w:r>
      <w:r w:rsidR="00C26D9D">
        <w:rPr>
          <w:lang w:val="ro-RO"/>
        </w:rPr>
        <w:t xml:space="preserve">Polonia, spre exemplu, </w:t>
      </w:r>
      <w:r w:rsidR="00343292">
        <w:rPr>
          <w:lang w:val="ro-RO"/>
        </w:rPr>
        <w:t xml:space="preserve">în 2005 33,6% </w:t>
      </w:r>
      <w:r w:rsidR="008F5DB1">
        <w:rPr>
          <w:lang w:val="ro-RO"/>
        </w:rPr>
        <w:t xml:space="preserve">dintre polonezi </w:t>
      </w:r>
      <w:r w:rsidR="00343292">
        <w:rPr>
          <w:lang w:val="ro-RO"/>
        </w:rPr>
        <w:t xml:space="preserve">se aflau în această situație ingrată, deci cu puțin mai mult decât în România în 2007. În 2020, ultimul an pentru care există date Eurostat pentru acest indicator pentru Polonia, proporția era de doar 3,2%. Chiar dacă progresul României pare remarcabil, el își mai pierde din strălucire dacă este să privim către Polonia. În Germania, evoluția a fost de </w:t>
      </w:r>
      <w:r w:rsidR="008F5DB1">
        <w:rPr>
          <w:lang w:val="ro-RO"/>
        </w:rPr>
        <w:t>l</w:t>
      </w:r>
      <w:r w:rsidR="00343292">
        <w:rPr>
          <w:lang w:val="ro-RO"/>
        </w:rPr>
        <w:t>a 4,6% în 2005 la 3,2% în 2021.</w:t>
      </w:r>
      <w:r w:rsidR="00824A50">
        <w:rPr>
          <w:lang w:val="ro-RO"/>
        </w:rPr>
        <w:t xml:space="preserve"> În plus, media Uniunii Europene era de 9,8% în 2011 și de 6,7% în 2019, ultimul an pentru avem date. Așa cum spuneam, rămâne de văzut cum vor face față România și restul țărilor UE crizei energetice potențate de războiul </w:t>
      </w:r>
      <w:r w:rsidR="008F5DB1">
        <w:rPr>
          <w:lang w:val="ro-RO"/>
        </w:rPr>
        <w:t xml:space="preserve">nejustificat și </w:t>
      </w:r>
      <w:r w:rsidR="00824A50">
        <w:rPr>
          <w:lang w:val="ro-RO"/>
        </w:rPr>
        <w:t>criminal declanșat de Rusia în Ucraina.</w:t>
      </w:r>
    </w:p>
    <w:p w14:paraId="2F22E87F" w14:textId="508101B3" w:rsidR="00824A50" w:rsidRDefault="00824A50" w:rsidP="00F10297">
      <w:pPr>
        <w:spacing w:line="360" w:lineRule="auto"/>
        <w:ind w:firstLine="567"/>
        <w:jc w:val="both"/>
        <w:rPr>
          <w:lang w:val="ro-RO"/>
        </w:rPr>
      </w:pPr>
      <w:r>
        <w:rPr>
          <w:lang w:val="ro-RO"/>
        </w:rPr>
        <w:t>Următorul indicator la care ne vom uita este cel al ponderii energiei regenerabile în consumul final brut de energie. Datele sunt furnizate de către Eurostat</w:t>
      </w:r>
      <w:r>
        <w:rPr>
          <w:rStyle w:val="FootnoteReference"/>
          <w:lang w:val="ro-RO"/>
        </w:rPr>
        <w:footnoteReference w:id="5"/>
      </w:r>
      <w:r>
        <w:rPr>
          <w:lang w:val="ro-RO"/>
        </w:rPr>
        <w:t xml:space="preserve"> și sunt vizualizate în Figura 2.</w:t>
      </w:r>
    </w:p>
    <w:p w14:paraId="5C7A1907" w14:textId="147FA766" w:rsidR="00F10297" w:rsidRPr="005D55ED" w:rsidRDefault="00041ECF" w:rsidP="005D55ED">
      <w:pPr>
        <w:spacing w:line="360" w:lineRule="auto"/>
        <w:ind w:firstLine="567"/>
        <w:jc w:val="both"/>
        <w:rPr>
          <w:lang w:val="ro-RO"/>
        </w:rPr>
      </w:pPr>
      <w:r>
        <w:rPr>
          <w:lang w:val="ro-RO"/>
        </w:rPr>
        <w:lastRenderedPageBreak/>
        <w:t>România este într-o situație comparativ mai bună decât alte state europene în ceea ce privește ponder</w:t>
      </w:r>
      <w:r w:rsidR="00212291">
        <w:rPr>
          <w:lang w:val="ro-RO"/>
        </w:rPr>
        <w:t>ea</w:t>
      </w:r>
      <w:r>
        <w:rPr>
          <w:lang w:val="ro-RO"/>
        </w:rPr>
        <w:t xml:space="preserve"> energiei regenerabile în consumul final brut de energie. În 2004, 16,8% din consumul brut final de energie provenea din surse regenerabile; în </w:t>
      </w:r>
      <w:r w:rsidR="009F1ECA">
        <w:rPr>
          <w:lang w:val="ro-RO"/>
        </w:rPr>
        <w:t xml:space="preserve">2020, ponderea crescuse la 24,5%. În Polonia, evoluția a fost de la 6,9% în 2004 la 16,1% în 2020. În Germania, de asemenea, s-a plecat de la 6,2% în 2004 și s-a ajuns la 19,3% în 2020. Cât despre media UE27, ea era de 9,6% în 2004 și de 22,1% în 2020. Nu sunt mulți indicatori </w:t>
      </w:r>
      <w:r w:rsidR="008F5DB1">
        <w:rPr>
          <w:lang w:val="ro-RO"/>
        </w:rPr>
        <w:t>la</w:t>
      </w:r>
      <w:r w:rsidR="009F1ECA">
        <w:rPr>
          <w:lang w:val="ro-RO"/>
        </w:rPr>
        <w:t xml:space="preserve"> care România să fie într-o poziție mai favorabilă decât </w:t>
      </w:r>
      <w:r w:rsidR="005D55ED">
        <w:rPr>
          <w:lang w:val="ro-RO"/>
        </w:rPr>
        <w:t>Polonia, Germania sau media UE27. Ponderea energiei regenerabile în consumul total este</w:t>
      </w:r>
      <w:r w:rsidR="00A378C0">
        <w:rPr>
          <w:lang w:val="ro-RO"/>
        </w:rPr>
        <w:t>, din fericire,</w:t>
      </w:r>
      <w:r w:rsidR="005D55ED">
        <w:rPr>
          <w:lang w:val="ro-RO"/>
        </w:rPr>
        <w:t xml:space="preserve"> un astfel de indicator. Rămâne doar ca România să continue în același fel și să se bazeze tot mai mult pe energia regenerabilă, verde.</w:t>
      </w:r>
    </w:p>
    <w:p w14:paraId="01B532BC" w14:textId="77777777" w:rsidR="00824A50" w:rsidRDefault="00824A50" w:rsidP="0010335D">
      <w:pPr>
        <w:spacing w:line="360" w:lineRule="auto"/>
        <w:ind w:firstLine="567"/>
        <w:jc w:val="both"/>
        <w:rPr>
          <w:lang w:val="ro-RO"/>
        </w:rPr>
      </w:pPr>
    </w:p>
    <w:p w14:paraId="0A9CFF07" w14:textId="0416B7CE" w:rsidR="00824A50" w:rsidRDefault="00824A50" w:rsidP="00824A50">
      <w:pPr>
        <w:spacing w:line="360" w:lineRule="auto"/>
        <w:jc w:val="center"/>
        <w:rPr>
          <w:b/>
          <w:bCs/>
          <w:lang w:val="ro-RO"/>
        </w:rPr>
      </w:pPr>
      <w:r w:rsidRPr="00824A50">
        <w:rPr>
          <w:b/>
          <w:bCs/>
          <w:lang w:val="ro-RO"/>
        </w:rPr>
        <w:t>Figura 2: Ponderea energiei regenerabile în consumul final brut de energie</w:t>
      </w:r>
    </w:p>
    <w:p w14:paraId="769605F7" w14:textId="29E2D64B" w:rsidR="00824A50" w:rsidRPr="00824A50" w:rsidRDefault="00824A50" w:rsidP="00824A50">
      <w:pPr>
        <w:spacing w:line="360" w:lineRule="auto"/>
        <w:jc w:val="center"/>
        <w:rPr>
          <w:b/>
          <w:bCs/>
          <w:lang w:val="ro-RO"/>
        </w:rPr>
      </w:pPr>
      <w:r>
        <w:rPr>
          <w:b/>
          <w:bCs/>
          <w:noProof/>
          <w:lang w:val="ro-RO"/>
        </w:rPr>
        <w:lastRenderedPageBreak/>
        <w:drawing>
          <wp:inline distT="0" distB="0" distL="0" distR="0" wp14:anchorId="7E43B251" wp14:editId="7ACFF6AF">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FB41B49" w14:textId="0045ACEE" w:rsidR="00A65AA1" w:rsidRDefault="00A65AA1" w:rsidP="00A65AA1">
      <w:pPr>
        <w:spacing w:line="360" w:lineRule="auto"/>
        <w:ind w:firstLine="567"/>
        <w:jc w:val="both"/>
        <w:rPr>
          <w:lang w:val="ro-RO"/>
        </w:rPr>
      </w:pPr>
      <w:r>
        <w:rPr>
          <w:lang w:val="ro-RO"/>
        </w:rPr>
        <w:t>Ca pas următor, ne vom referi la energia termică pentru uz casnic din sistemul public. Așa cum spune INS în definiția indicatorului, e</w:t>
      </w:r>
      <w:r w:rsidRPr="00A65AA1">
        <w:rPr>
          <w:lang w:val="ro-RO"/>
        </w:rPr>
        <w:t>nergia termic</w:t>
      </w:r>
      <w:r>
        <w:rPr>
          <w:lang w:val="ro-RO"/>
        </w:rPr>
        <w:t>ă</w:t>
      </w:r>
      <w:r w:rsidRPr="00A65AA1">
        <w:rPr>
          <w:lang w:val="ro-RO"/>
        </w:rPr>
        <w:t xml:space="preserve"> distribuit</w:t>
      </w:r>
      <w:r>
        <w:rPr>
          <w:lang w:val="ro-RO"/>
        </w:rPr>
        <w:t>ă</w:t>
      </w:r>
      <w:r w:rsidRPr="00A65AA1">
        <w:rPr>
          <w:lang w:val="ro-RO"/>
        </w:rPr>
        <w:t xml:space="preserve"> (</w:t>
      </w:r>
      <w:r w:rsidR="00A378C0">
        <w:rPr>
          <w:lang w:val="ro-RO"/>
        </w:rPr>
        <w:t xml:space="preserve">măsurată în </w:t>
      </w:r>
      <w:r w:rsidRPr="00A65AA1">
        <w:rPr>
          <w:lang w:val="ro-RO"/>
        </w:rPr>
        <w:t>Gcal) reprezintă energia termic</w:t>
      </w:r>
      <w:r>
        <w:rPr>
          <w:lang w:val="ro-RO"/>
        </w:rPr>
        <w:t>ă</w:t>
      </w:r>
      <w:r w:rsidRPr="00A65AA1">
        <w:rPr>
          <w:lang w:val="ro-RO"/>
        </w:rPr>
        <w:t xml:space="preserve"> distribui</w:t>
      </w:r>
      <w:r>
        <w:rPr>
          <w:lang w:val="ro-RO"/>
        </w:rPr>
        <w:t>tă</w:t>
      </w:r>
      <w:r w:rsidRPr="00A65AA1">
        <w:rPr>
          <w:lang w:val="ro-RO"/>
        </w:rPr>
        <w:t xml:space="preserve"> prin cumpărare de la centralele electrice de termoficare </w:t>
      </w:r>
      <w:r>
        <w:rPr>
          <w:lang w:val="ro-RO"/>
        </w:rPr>
        <w:t>ș</w:t>
      </w:r>
      <w:r w:rsidRPr="00A65AA1">
        <w:rPr>
          <w:lang w:val="ro-RO"/>
        </w:rPr>
        <w:t>i centralele termice din zon</w:t>
      </w:r>
      <w:r>
        <w:rPr>
          <w:lang w:val="ro-RO"/>
        </w:rPr>
        <w:t>ă</w:t>
      </w:r>
      <w:r w:rsidRPr="00A65AA1">
        <w:rPr>
          <w:lang w:val="ro-RO"/>
        </w:rPr>
        <w:t xml:space="preserve">, precum </w:t>
      </w:r>
      <w:r>
        <w:rPr>
          <w:lang w:val="ro-RO"/>
        </w:rPr>
        <w:t>ș</w:t>
      </w:r>
      <w:r w:rsidRPr="00A65AA1">
        <w:rPr>
          <w:lang w:val="ro-RO"/>
        </w:rPr>
        <w:t>i energia termic</w:t>
      </w:r>
      <w:r>
        <w:rPr>
          <w:lang w:val="ro-RO"/>
        </w:rPr>
        <w:t>ă</w:t>
      </w:r>
      <w:r w:rsidRPr="00A65AA1">
        <w:rPr>
          <w:lang w:val="ro-RO"/>
        </w:rPr>
        <w:t xml:space="preserve"> distribuit</w:t>
      </w:r>
      <w:r>
        <w:rPr>
          <w:lang w:val="ro-RO"/>
        </w:rPr>
        <w:t>ă</w:t>
      </w:r>
      <w:r w:rsidRPr="00A65AA1">
        <w:rPr>
          <w:lang w:val="ro-RO"/>
        </w:rPr>
        <w:t xml:space="preserve"> de microcentralele termice de bloc sau cvartal, aparținând unităților administrației locale.</w:t>
      </w:r>
      <w:r w:rsidR="00C94B6F">
        <w:rPr>
          <w:lang w:val="ro-RO"/>
        </w:rPr>
        <w:t xml:space="preserve"> Datele sunt prezentate grafic în Figura 3.</w:t>
      </w:r>
    </w:p>
    <w:p w14:paraId="6C664E2D" w14:textId="7AC7800B" w:rsidR="00C94B6F" w:rsidRPr="00D827F7" w:rsidRDefault="00E73759" w:rsidP="00D827F7">
      <w:pPr>
        <w:spacing w:line="360" w:lineRule="auto"/>
        <w:ind w:firstLine="567"/>
        <w:jc w:val="both"/>
        <w:rPr>
          <w:lang w:val="en-US"/>
        </w:rPr>
      </w:pPr>
      <w:r>
        <w:rPr>
          <w:lang w:val="ro-RO"/>
        </w:rPr>
        <w:lastRenderedPageBreak/>
        <w:t>Ca trend general</w:t>
      </w:r>
      <w:r w:rsidR="000C7B82">
        <w:rPr>
          <w:lang w:val="ro-RO"/>
        </w:rPr>
        <w:t xml:space="preserve">, observăm </w:t>
      </w:r>
      <w:r>
        <w:rPr>
          <w:lang w:val="ro-RO"/>
        </w:rPr>
        <w:t>scăderea clară a energiei termice distribuite pentru uz casnic în sistemul public în perioada 1993 – 2020. Scăderea se aplică pentru toate cele opt regiuni de dezvoltare</w:t>
      </w:r>
      <w:r w:rsidR="00157B17">
        <w:rPr>
          <w:lang w:val="ro-RO"/>
        </w:rPr>
        <w:t xml:space="preserve"> și este cel mai bine reliefată de situația din regiunea București – Ilfov. Astfel, de la 589,6 zeci de mii de Gcal în 1993 distribuite pentru uz casnic din sistemul public, s-a ajuns în 2020 la doar 294,1 zeci de mii de Gcal. Scăderea este una considerabilă, de 50,1%</w:t>
      </w:r>
      <w:r w:rsidR="00A378C0">
        <w:rPr>
          <w:lang w:val="ro-RO"/>
        </w:rPr>
        <w:t>,</w:t>
      </w:r>
      <w:r w:rsidR="00157B17">
        <w:rPr>
          <w:lang w:val="ro-RO"/>
        </w:rPr>
        <w:t xml:space="preserve"> și scoate în evidență problemele cu care se confruntă în special Bucureștiul în asigurarea energiei termice pentru uz casnic prin sistemul public. </w:t>
      </w:r>
      <w:r w:rsidR="00D827F7">
        <w:rPr>
          <w:lang w:val="ro-RO"/>
        </w:rPr>
        <w:t xml:space="preserve">La nivel național, cantitatea </w:t>
      </w:r>
      <w:r w:rsidR="00A378C0">
        <w:rPr>
          <w:lang w:val="ro-RO"/>
        </w:rPr>
        <w:t xml:space="preserve">de energie termică </w:t>
      </w:r>
      <w:r w:rsidR="00D827F7">
        <w:rPr>
          <w:lang w:val="ro-RO"/>
        </w:rPr>
        <w:t xml:space="preserve">a scăzut de la 2813,3 zeci de mii Gcal în 1993 la 603,4 zeci de mii de Gcal în 2020. </w:t>
      </w:r>
      <w:r w:rsidR="00157B17">
        <w:rPr>
          <w:lang w:val="ro-RO"/>
        </w:rPr>
        <w:t xml:space="preserve">Fără investiții publice naționale și locale, acest trend negativ va continua, cu consecințe </w:t>
      </w:r>
      <w:r w:rsidR="00712FFE">
        <w:rPr>
          <w:lang w:val="ro-RO"/>
        </w:rPr>
        <w:t>potențial negative pentru mediu.</w:t>
      </w:r>
    </w:p>
    <w:p w14:paraId="1E47D4B7" w14:textId="2E46D6C3" w:rsidR="00C94B6F" w:rsidRDefault="00C94B6F" w:rsidP="00A65AA1">
      <w:pPr>
        <w:spacing w:line="360" w:lineRule="auto"/>
        <w:ind w:firstLine="567"/>
        <w:jc w:val="both"/>
        <w:rPr>
          <w:lang w:val="ro-RO"/>
        </w:rPr>
      </w:pPr>
    </w:p>
    <w:p w14:paraId="6EA9B567" w14:textId="0C07D4C5" w:rsidR="00C94B6F" w:rsidRDefault="00C94B6F" w:rsidP="00C94B6F">
      <w:pPr>
        <w:spacing w:line="360" w:lineRule="auto"/>
        <w:jc w:val="center"/>
        <w:rPr>
          <w:b/>
          <w:bCs/>
          <w:lang w:val="ro-RO"/>
        </w:rPr>
      </w:pPr>
      <w:r w:rsidRPr="00C94B6F">
        <w:rPr>
          <w:b/>
          <w:bCs/>
          <w:lang w:val="ro-RO"/>
        </w:rPr>
        <w:t xml:space="preserve">Figura 3: Energia termică distribuită pentru uz casnic </w:t>
      </w:r>
      <w:r w:rsidR="00A378C0">
        <w:rPr>
          <w:b/>
          <w:bCs/>
          <w:lang w:val="ro-RO"/>
        </w:rPr>
        <w:t>î</w:t>
      </w:r>
      <w:r w:rsidRPr="00C94B6F">
        <w:rPr>
          <w:b/>
          <w:bCs/>
          <w:lang w:val="ro-RO"/>
        </w:rPr>
        <w:t>n sistemul public</w:t>
      </w:r>
    </w:p>
    <w:p w14:paraId="2EC096DF" w14:textId="044388CD" w:rsidR="00C94B6F" w:rsidRPr="00C94B6F" w:rsidRDefault="000C7B82" w:rsidP="00C94B6F">
      <w:pPr>
        <w:spacing w:line="360" w:lineRule="auto"/>
        <w:jc w:val="center"/>
        <w:rPr>
          <w:b/>
          <w:bCs/>
          <w:lang w:val="ro-RO"/>
        </w:rPr>
      </w:pPr>
      <w:r>
        <w:rPr>
          <w:b/>
          <w:bCs/>
          <w:noProof/>
          <w:lang w:val="ro-RO"/>
        </w:rPr>
        <w:lastRenderedPageBreak/>
        <w:drawing>
          <wp:inline distT="0" distB="0" distL="0" distR="0" wp14:anchorId="2DE3DE24" wp14:editId="06ED8746">
            <wp:extent cx="5943600" cy="35661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7A7BF9D5" w14:textId="24FA5E3C" w:rsidR="00D827F7" w:rsidRDefault="00D827F7" w:rsidP="00D827F7">
      <w:pPr>
        <w:spacing w:line="360" w:lineRule="auto"/>
        <w:ind w:firstLine="567"/>
        <w:jc w:val="both"/>
        <w:rPr>
          <w:lang w:val="ro-RO"/>
        </w:rPr>
      </w:pPr>
      <w:r>
        <w:rPr>
          <w:lang w:val="ro-RO"/>
        </w:rPr>
        <w:t>În continuare, ne-am aplecat asupra lungimii totale a conductelor de distribuți</w:t>
      </w:r>
      <w:r w:rsidR="00A378C0">
        <w:rPr>
          <w:lang w:val="ro-RO"/>
        </w:rPr>
        <w:t>e</w:t>
      </w:r>
      <w:r>
        <w:rPr>
          <w:lang w:val="ro-RO"/>
        </w:rPr>
        <w:t xml:space="preserve"> a gazelor naturale. Potrivit INS, </w:t>
      </w:r>
      <w:r>
        <w:rPr>
          <w:lang w:val="ro-RO"/>
        </w:rPr>
        <w:tab/>
        <w:t>l</w:t>
      </w:r>
      <w:r w:rsidRPr="00D827F7">
        <w:rPr>
          <w:lang w:val="ro-RO"/>
        </w:rPr>
        <w:t>ungimea total</w:t>
      </w:r>
      <w:r>
        <w:rPr>
          <w:lang w:val="ro-RO"/>
        </w:rPr>
        <w:t>ă</w:t>
      </w:r>
      <w:r w:rsidRPr="00D827F7">
        <w:rPr>
          <w:lang w:val="ro-RO"/>
        </w:rPr>
        <w:t xml:space="preserve"> a conductelor de distribuție a gazelor se refer</w:t>
      </w:r>
      <w:r>
        <w:rPr>
          <w:lang w:val="ro-RO"/>
        </w:rPr>
        <w:t>ă</w:t>
      </w:r>
      <w:r w:rsidRPr="00D827F7">
        <w:rPr>
          <w:lang w:val="ro-RO"/>
        </w:rPr>
        <w:t xml:space="preserve"> la</w:t>
      </w:r>
      <w:r w:rsidR="00A378C0">
        <w:rPr>
          <w:lang w:val="ro-RO"/>
        </w:rPr>
        <w:t xml:space="preserve"> </w:t>
      </w:r>
      <w:r w:rsidRPr="00D827F7">
        <w:rPr>
          <w:lang w:val="ro-RO"/>
        </w:rPr>
        <w:t xml:space="preserve">totalitatea conductelor (din rețea </w:t>
      </w:r>
      <w:r>
        <w:rPr>
          <w:lang w:val="ro-RO"/>
        </w:rPr>
        <w:t>ș</w:t>
      </w:r>
      <w:r w:rsidRPr="00D827F7">
        <w:rPr>
          <w:lang w:val="ro-RO"/>
        </w:rPr>
        <w:t xml:space="preserve">i direct din conductele magistrale de transport) prin care se distribuie gaze la consumatorii dintr-o localitate, începând de la stațiile de reglare a presiunii </w:t>
      </w:r>
      <w:r>
        <w:rPr>
          <w:lang w:val="ro-RO"/>
        </w:rPr>
        <w:t>ș</w:t>
      </w:r>
      <w:r w:rsidRPr="00D827F7">
        <w:rPr>
          <w:lang w:val="ro-RO"/>
        </w:rPr>
        <w:t>i predare a gazelor de către furnizori p</w:t>
      </w:r>
      <w:r>
        <w:rPr>
          <w:lang w:val="ro-RO"/>
        </w:rPr>
        <w:t>â</w:t>
      </w:r>
      <w:r w:rsidRPr="00D827F7">
        <w:rPr>
          <w:lang w:val="ro-RO"/>
        </w:rPr>
        <w:t>n</w:t>
      </w:r>
      <w:r>
        <w:rPr>
          <w:lang w:val="ro-RO"/>
        </w:rPr>
        <w:t>ă</w:t>
      </w:r>
      <w:r w:rsidRPr="00D827F7">
        <w:rPr>
          <w:lang w:val="ro-RO"/>
        </w:rPr>
        <w:t xml:space="preserve"> la punctele de bran</w:t>
      </w:r>
      <w:r>
        <w:rPr>
          <w:lang w:val="ro-RO"/>
        </w:rPr>
        <w:t>ș</w:t>
      </w:r>
      <w:r w:rsidRPr="00D827F7">
        <w:rPr>
          <w:lang w:val="ro-RO"/>
        </w:rPr>
        <w:t>are a consumatorilor, indiferent de presiunea de regim la care sunt exploatate</w:t>
      </w:r>
      <w:r>
        <w:rPr>
          <w:lang w:val="ro-RO"/>
        </w:rPr>
        <w:t>; n</w:t>
      </w:r>
      <w:r w:rsidRPr="00D827F7">
        <w:rPr>
          <w:lang w:val="ro-RO"/>
        </w:rPr>
        <w:t xml:space="preserve">u se include </w:t>
      </w:r>
      <w:r>
        <w:rPr>
          <w:lang w:val="ro-RO"/>
        </w:rPr>
        <w:t xml:space="preserve">aici </w:t>
      </w:r>
      <w:r w:rsidRPr="00D827F7">
        <w:rPr>
          <w:lang w:val="ro-RO"/>
        </w:rPr>
        <w:t xml:space="preserve">lungimea branșamentelor </w:t>
      </w:r>
      <w:r>
        <w:rPr>
          <w:lang w:val="ro-RO"/>
        </w:rPr>
        <w:t>ș</w:t>
      </w:r>
      <w:r w:rsidRPr="00D827F7">
        <w:rPr>
          <w:lang w:val="ro-RO"/>
        </w:rPr>
        <w:t>i lungimea conductelor magistrale de transport.</w:t>
      </w:r>
    </w:p>
    <w:p w14:paraId="34F7F60D" w14:textId="2945C8F0" w:rsidR="00DC16A7" w:rsidRDefault="00DC16A7" w:rsidP="00D827F7">
      <w:pPr>
        <w:spacing w:line="360" w:lineRule="auto"/>
        <w:ind w:firstLine="567"/>
        <w:jc w:val="both"/>
        <w:rPr>
          <w:lang w:val="ro-RO"/>
        </w:rPr>
      </w:pPr>
      <w:r>
        <w:rPr>
          <w:lang w:val="ro-RO"/>
        </w:rPr>
        <w:t xml:space="preserve">La nivel național, România </w:t>
      </w:r>
      <w:r w:rsidR="00616C66">
        <w:rPr>
          <w:lang w:val="ro-RO"/>
        </w:rPr>
        <w:t>avea</w:t>
      </w:r>
      <w:r w:rsidR="00A378C0">
        <w:rPr>
          <w:lang w:val="ro-RO"/>
        </w:rPr>
        <w:t>,</w:t>
      </w:r>
      <w:r w:rsidR="00616C66">
        <w:rPr>
          <w:lang w:val="ro-RO"/>
        </w:rPr>
        <w:t xml:space="preserve"> în 1990</w:t>
      </w:r>
      <w:r w:rsidR="00A378C0">
        <w:rPr>
          <w:lang w:val="ro-RO"/>
        </w:rPr>
        <w:t>,</w:t>
      </w:r>
      <w:r w:rsidR="00616C66">
        <w:rPr>
          <w:lang w:val="ro-RO"/>
        </w:rPr>
        <w:t xml:space="preserve"> 10770,6 km de conducte de distribuție a gazelor naturale. </w:t>
      </w:r>
      <w:r w:rsidR="0061395F">
        <w:rPr>
          <w:lang w:val="ro-RO"/>
        </w:rPr>
        <w:t xml:space="preserve">În 2020, această lungime a crescut la 43563,4 km, ceea ce reprezintă o creștere </w:t>
      </w:r>
      <w:r w:rsidR="0061395F">
        <w:rPr>
          <w:lang w:val="ro-RO"/>
        </w:rPr>
        <w:lastRenderedPageBreak/>
        <w:t>procentuală de 304,5%. La nivel regional, creșterea cea mai consistentă este în regiunea Centru, cea care cuprinde zona Mediașului, de la 3303,3 km în 1990 la 9080</w:t>
      </w:r>
      <w:r w:rsidR="00A378C0">
        <w:rPr>
          <w:lang w:val="ro-RO"/>
        </w:rPr>
        <w:t xml:space="preserve"> km</w:t>
      </w:r>
      <w:r w:rsidR="0061395F">
        <w:rPr>
          <w:lang w:val="ro-RO"/>
        </w:rPr>
        <w:t xml:space="preserve"> în 2020. </w:t>
      </w:r>
      <w:r w:rsidR="00562B25">
        <w:rPr>
          <w:lang w:val="ro-RO"/>
        </w:rPr>
        <w:t>Aceste statistici scot în evidență o traiectorie pozitivă, dar cifrele vor trebui puse în context, pentru a ști, cu ajutorul datelor de opinie publică, ce procent din populația României este conectat la rețeaua de alimentare cu gaze naturale.</w:t>
      </w:r>
    </w:p>
    <w:p w14:paraId="27F9F0C1" w14:textId="77777777" w:rsidR="00D827F7" w:rsidRPr="0030124E" w:rsidRDefault="00D827F7" w:rsidP="0010335D">
      <w:pPr>
        <w:spacing w:line="360" w:lineRule="auto"/>
        <w:ind w:firstLine="567"/>
        <w:jc w:val="both"/>
        <w:rPr>
          <w:lang w:val="ro-RO"/>
        </w:rPr>
      </w:pPr>
    </w:p>
    <w:p w14:paraId="0983DFE5" w14:textId="597189E6" w:rsidR="00D136E3" w:rsidRDefault="00D136E3" w:rsidP="00D827F7">
      <w:pPr>
        <w:spacing w:line="360" w:lineRule="auto"/>
        <w:jc w:val="center"/>
        <w:rPr>
          <w:b/>
          <w:bCs/>
          <w:lang w:val="ro-RO"/>
        </w:rPr>
      </w:pPr>
      <w:r w:rsidRPr="0030124E">
        <w:rPr>
          <w:b/>
          <w:bCs/>
          <w:lang w:val="ro-RO"/>
        </w:rPr>
        <w:t xml:space="preserve">Figura </w:t>
      </w:r>
      <w:r w:rsidR="00D827F7">
        <w:rPr>
          <w:b/>
          <w:bCs/>
          <w:lang w:val="ro-RO"/>
        </w:rPr>
        <w:t xml:space="preserve">4: </w:t>
      </w:r>
      <w:r w:rsidRPr="0030124E">
        <w:rPr>
          <w:b/>
          <w:bCs/>
          <w:lang w:val="ro-RO"/>
        </w:rPr>
        <w:t>Lungimea totală a conductelor de distribuție a gazelor naturale</w:t>
      </w:r>
    </w:p>
    <w:p w14:paraId="73C43230" w14:textId="4B8D0C12" w:rsidR="00D827F7" w:rsidRPr="0030124E" w:rsidRDefault="00D827F7" w:rsidP="00D827F7">
      <w:pPr>
        <w:spacing w:line="360" w:lineRule="auto"/>
        <w:jc w:val="center"/>
        <w:rPr>
          <w:b/>
          <w:bCs/>
          <w:lang w:val="ro-RO"/>
        </w:rPr>
      </w:pPr>
      <w:r>
        <w:rPr>
          <w:b/>
          <w:bCs/>
          <w:noProof/>
          <w:lang w:val="ro-RO"/>
        </w:rPr>
        <w:drawing>
          <wp:inline distT="0" distB="0" distL="0" distR="0" wp14:anchorId="7D14D917" wp14:editId="10E64166">
            <wp:extent cx="5943600" cy="35661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51EEE342" w14:textId="53C34DF1" w:rsidR="00001171" w:rsidRPr="0030124E" w:rsidRDefault="00001171" w:rsidP="00AB6DD2">
      <w:pPr>
        <w:spacing w:line="360" w:lineRule="auto"/>
        <w:jc w:val="center"/>
        <w:rPr>
          <w:lang w:val="ro-RO"/>
        </w:rPr>
      </w:pPr>
    </w:p>
    <w:p w14:paraId="1F2501CF" w14:textId="14C95CDE" w:rsidR="00562B25" w:rsidRDefault="00562B25" w:rsidP="00562B25">
      <w:pPr>
        <w:spacing w:line="360" w:lineRule="auto"/>
        <w:ind w:firstLine="567"/>
        <w:jc w:val="both"/>
        <w:rPr>
          <w:lang w:val="ro-RO"/>
        </w:rPr>
      </w:pPr>
      <w:r>
        <w:rPr>
          <w:lang w:val="ro-RO"/>
        </w:rPr>
        <w:lastRenderedPageBreak/>
        <w:t xml:space="preserve">Nu doar lungimea conductelor de distribuție a gazelor naturale este importantă, ci și </w:t>
      </w:r>
      <w:r w:rsidR="00624C81" w:rsidRPr="00624C81">
        <w:rPr>
          <w:lang w:val="ro-RO"/>
        </w:rPr>
        <w:t>situația gazelor naturale distribuite pentru uz casnic</w:t>
      </w:r>
      <w:r w:rsidR="00624C81">
        <w:rPr>
          <w:lang w:val="ro-RO"/>
        </w:rPr>
        <w:t>. Potrivit INS, g</w:t>
      </w:r>
      <w:r w:rsidR="00624C81" w:rsidRPr="00624C81">
        <w:rPr>
          <w:lang w:val="ro-RO"/>
        </w:rPr>
        <w:t>azele naturale distribuite reprezintă volumul total de gaze naturale livrate consumatorilor prin rețele de distribuție (inclusiv gazele consumate de unitatea distribuitoare).</w:t>
      </w:r>
    </w:p>
    <w:p w14:paraId="0BFC5E6F" w14:textId="0B71597B" w:rsidR="00DD6132" w:rsidRDefault="00DD6132" w:rsidP="0002047D">
      <w:pPr>
        <w:spacing w:line="360" w:lineRule="auto"/>
        <w:ind w:firstLine="567"/>
        <w:jc w:val="both"/>
        <w:rPr>
          <w:lang w:val="ro-RO"/>
        </w:rPr>
      </w:pPr>
      <w:r>
        <w:rPr>
          <w:lang w:val="ro-RO"/>
        </w:rPr>
        <w:t>La nivel național, consumul de gaze naturale pentru uz casnic a evoluat de la 2713,2 milioane metri cubi în 1990 la 3444,1 milioane metri cubi în 2020</w:t>
      </w:r>
      <w:r w:rsidR="00D53685">
        <w:rPr>
          <w:lang w:val="ro-RO"/>
        </w:rPr>
        <w:t xml:space="preserve"> – o creștere de 26,9% în trei decenii. Ca trend general, observăm o scădere a consumului în primul deceniu de după Revoluție, pentru ca apoi să, vedem, post-2000</w:t>
      </w:r>
      <w:r w:rsidR="00A378C0">
        <w:rPr>
          <w:lang w:val="ro-RO"/>
        </w:rPr>
        <w:t>,</w:t>
      </w:r>
      <w:r w:rsidR="00D53685">
        <w:rPr>
          <w:lang w:val="ro-RO"/>
        </w:rPr>
        <w:t xml:space="preserve"> o creștere constantă a cantității de gaze naturale consumate de către consumatorii domestici.</w:t>
      </w:r>
      <w:r w:rsidR="0002047D">
        <w:rPr>
          <w:lang w:val="ro-RO"/>
        </w:rPr>
        <w:t xml:space="preserve"> De altfel, dacă comparăm anii 2000 (</w:t>
      </w:r>
      <w:r w:rsidR="0002047D" w:rsidRPr="0002047D">
        <w:rPr>
          <w:lang w:val="ro-RO"/>
        </w:rPr>
        <w:t>﻿3742</w:t>
      </w:r>
      <w:r w:rsidR="0002047D">
        <w:rPr>
          <w:lang w:val="ro-RO"/>
        </w:rPr>
        <w:t xml:space="preserve">,1 milioane metri cubi) și 2020 (3444,1 milioane metri cubi), se observă o scădere a consumului pentru uz casnic de 8%. </w:t>
      </w:r>
      <w:r w:rsidR="00D53685">
        <w:rPr>
          <w:lang w:val="ro-RO"/>
        </w:rPr>
        <w:t xml:space="preserve">La nivel regional, de exemplu, </w:t>
      </w:r>
      <w:r w:rsidR="0002047D">
        <w:rPr>
          <w:lang w:val="ro-RO"/>
        </w:rPr>
        <w:t>în București – Ilfov, consumul a evoluat de la 337,3 milioane metri cubi în 1990 la 612,441 milioane metri cubi în 2020. În regiunea Centru, s-a plecat de la 931,5 milioane metri cubi în 1990 și s-a ajuns la 640,6 milioane metri cubi în 2020.</w:t>
      </w:r>
    </w:p>
    <w:p w14:paraId="7BC2347F" w14:textId="6464E54B" w:rsidR="00562B25" w:rsidRDefault="00562B25" w:rsidP="0002047D">
      <w:pPr>
        <w:spacing w:line="360" w:lineRule="auto"/>
        <w:jc w:val="both"/>
        <w:rPr>
          <w:lang w:val="ro-RO"/>
        </w:rPr>
      </w:pPr>
    </w:p>
    <w:p w14:paraId="0DBD6383" w14:textId="79B97821" w:rsidR="00562B25" w:rsidRDefault="00562B25" w:rsidP="00562B25">
      <w:pPr>
        <w:spacing w:line="360" w:lineRule="auto"/>
        <w:jc w:val="center"/>
        <w:rPr>
          <w:b/>
          <w:bCs/>
          <w:lang w:val="ro-RO"/>
        </w:rPr>
      </w:pPr>
      <w:r w:rsidRPr="00562B25">
        <w:rPr>
          <w:b/>
          <w:bCs/>
          <w:lang w:val="ro-RO"/>
        </w:rPr>
        <w:t>Figura 5: Situația gazelor naturale distribuite pentru uz casnic</w:t>
      </w:r>
    </w:p>
    <w:p w14:paraId="7C851B1E" w14:textId="33FDEA7E" w:rsidR="00562B25" w:rsidRPr="0030124E" w:rsidRDefault="00562B25" w:rsidP="001908D8">
      <w:pPr>
        <w:spacing w:line="360" w:lineRule="auto"/>
        <w:jc w:val="center"/>
        <w:rPr>
          <w:lang w:val="ro-RO"/>
        </w:rPr>
      </w:pPr>
      <w:r>
        <w:rPr>
          <w:b/>
          <w:bCs/>
          <w:noProof/>
          <w:lang w:val="ro-RO"/>
        </w:rPr>
        <w:lastRenderedPageBreak/>
        <w:drawing>
          <wp:inline distT="0" distB="0" distL="0" distR="0" wp14:anchorId="5FEF15F2" wp14:editId="41EE90A7">
            <wp:extent cx="5943600" cy="35661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2F22085" w14:textId="6EF97BF9" w:rsidR="00301A5F" w:rsidRPr="00392F4B" w:rsidRDefault="00301A5F" w:rsidP="001908D8">
      <w:pPr>
        <w:spacing w:line="360" w:lineRule="auto"/>
        <w:ind w:firstLine="567"/>
        <w:jc w:val="both"/>
        <w:rPr>
          <w:b/>
          <w:bCs/>
          <w:lang w:val="ro-RO"/>
        </w:rPr>
      </w:pPr>
      <w:r>
        <w:rPr>
          <w:lang w:val="ro-RO"/>
        </w:rPr>
        <w:t xml:space="preserve">În continuare, am analizat evoluția Indicelui Prețurilor de Consum, cu accent pe ce s-a întâmplat, în perioada 2001 – 2022, cu prețurile la energie electrică, </w:t>
      </w:r>
      <w:r w:rsidR="00A378C0">
        <w:rPr>
          <w:lang w:val="ro-RO"/>
        </w:rPr>
        <w:t xml:space="preserve">la </w:t>
      </w:r>
      <w:r>
        <w:rPr>
          <w:lang w:val="ro-RO"/>
        </w:rPr>
        <w:t xml:space="preserve">gaze naturale și </w:t>
      </w:r>
      <w:r w:rsidR="00A378C0">
        <w:rPr>
          <w:lang w:val="ro-RO"/>
        </w:rPr>
        <w:t xml:space="preserve">la </w:t>
      </w:r>
      <w:r>
        <w:rPr>
          <w:lang w:val="ro-RO"/>
        </w:rPr>
        <w:t>încălzire</w:t>
      </w:r>
      <w:r w:rsidR="00392F4B">
        <w:rPr>
          <w:lang w:val="ro-RO"/>
        </w:rPr>
        <w:t xml:space="preserve"> centralizată</w:t>
      </w:r>
      <w:r>
        <w:rPr>
          <w:lang w:val="ro-RO"/>
        </w:rPr>
        <w:t>. Conform INS,</w:t>
      </w:r>
      <w:r w:rsidR="00392F4B">
        <w:rPr>
          <w:lang w:val="ro-RO"/>
        </w:rPr>
        <w:t xml:space="preserve"> i</w:t>
      </w:r>
      <w:r w:rsidRPr="00301A5F">
        <w:rPr>
          <w:lang w:val="ro-RO"/>
        </w:rPr>
        <w:t>ndicele preturilor de consum (IPC) m</w:t>
      </w:r>
      <w:r>
        <w:rPr>
          <w:lang w:val="ro-RO"/>
        </w:rPr>
        <w:t>ă</w:t>
      </w:r>
      <w:r w:rsidRPr="00301A5F">
        <w:rPr>
          <w:lang w:val="ro-RO"/>
        </w:rPr>
        <w:t>soar</w:t>
      </w:r>
      <w:r>
        <w:rPr>
          <w:lang w:val="ro-RO"/>
        </w:rPr>
        <w:t>ă</w:t>
      </w:r>
      <w:r w:rsidRPr="00301A5F">
        <w:rPr>
          <w:lang w:val="ro-RO"/>
        </w:rPr>
        <w:t xml:space="preserve"> evolu</w:t>
      </w:r>
      <w:r>
        <w:rPr>
          <w:lang w:val="ro-RO"/>
        </w:rPr>
        <w:t>ț</w:t>
      </w:r>
      <w:r w:rsidRPr="00301A5F">
        <w:rPr>
          <w:lang w:val="ro-RO"/>
        </w:rPr>
        <w:t>ia de ansamblu a pre</w:t>
      </w:r>
      <w:r>
        <w:rPr>
          <w:lang w:val="ro-RO"/>
        </w:rPr>
        <w:t>ț</w:t>
      </w:r>
      <w:r w:rsidRPr="00301A5F">
        <w:rPr>
          <w:lang w:val="ro-RO"/>
        </w:rPr>
        <w:t>urilor m</w:t>
      </w:r>
      <w:r>
        <w:rPr>
          <w:lang w:val="ro-RO"/>
        </w:rPr>
        <w:t>ă</w:t>
      </w:r>
      <w:r w:rsidRPr="00301A5F">
        <w:rPr>
          <w:lang w:val="ro-RO"/>
        </w:rPr>
        <w:t xml:space="preserve">rfurilor cumpărate </w:t>
      </w:r>
      <w:r>
        <w:rPr>
          <w:lang w:val="ro-RO"/>
        </w:rPr>
        <w:t>ș</w:t>
      </w:r>
      <w:r w:rsidRPr="00301A5F">
        <w:rPr>
          <w:lang w:val="ro-RO"/>
        </w:rPr>
        <w:t>i a tarifelor serviciilor utilizate de c</w:t>
      </w:r>
      <w:r>
        <w:rPr>
          <w:lang w:val="ro-RO"/>
        </w:rPr>
        <w:t>ă</w:t>
      </w:r>
      <w:r w:rsidRPr="00301A5F">
        <w:rPr>
          <w:lang w:val="ro-RO"/>
        </w:rPr>
        <w:t xml:space="preserve">tre populație </w:t>
      </w:r>
      <w:r>
        <w:rPr>
          <w:lang w:val="ro-RO"/>
        </w:rPr>
        <w:t>î</w:t>
      </w:r>
      <w:r w:rsidRPr="00301A5F">
        <w:rPr>
          <w:lang w:val="ro-RO"/>
        </w:rPr>
        <w:t>ntr-o anumit</w:t>
      </w:r>
      <w:r>
        <w:rPr>
          <w:lang w:val="ro-RO"/>
        </w:rPr>
        <w:t>ă</w:t>
      </w:r>
      <w:r w:rsidRPr="00301A5F">
        <w:rPr>
          <w:lang w:val="ro-RO"/>
        </w:rPr>
        <w:t xml:space="preserve"> perioad</w:t>
      </w:r>
      <w:r>
        <w:rPr>
          <w:lang w:val="ro-RO"/>
        </w:rPr>
        <w:t>ă</w:t>
      </w:r>
      <w:r w:rsidRPr="00301A5F">
        <w:rPr>
          <w:lang w:val="ro-RO"/>
        </w:rPr>
        <w:t xml:space="preserve"> (perioada curent</w:t>
      </w:r>
      <w:r>
        <w:rPr>
          <w:lang w:val="ro-RO"/>
        </w:rPr>
        <w:t>ă</w:t>
      </w:r>
      <w:r w:rsidRPr="00301A5F">
        <w:rPr>
          <w:lang w:val="ro-RO"/>
        </w:rPr>
        <w:t>), fa</w:t>
      </w:r>
      <w:r>
        <w:rPr>
          <w:lang w:val="ro-RO"/>
        </w:rPr>
        <w:t>ță</w:t>
      </w:r>
      <w:r w:rsidRPr="00301A5F">
        <w:rPr>
          <w:lang w:val="ro-RO"/>
        </w:rPr>
        <w:t xml:space="preserve"> de o perioad</w:t>
      </w:r>
      <w:r>
        <w:rPr>
          <w:lang w:val="ro-RO"/>
        </w:rPr>
        <w:t>ă</w:t>
      </w:r>
      <w:r w:rsidRPr="00301A5F">
        <w:rPr>
          <w:lang w:val="ro-RO"/>
        </w:rPr>
        <w:t xml:space="preserve"> anterioar</w:t>
      </w:r>
      <w:r>
        <w:rPr>
          <w:lang w:val="ro-RO"/>
        </w:rPr>
        <w:t>ă</w:t>
      </w:r>
      <w:r w:rsidRPr="00301A5F">
        <w:rPr>
          <w:lang w:val="ro-RO"/>
        </w:rPr>
        <w:t xml:space="preserve"> (perioada de baz</w:t>
      </w:r>
      <w:r>
        <w:rPr>
          <w:lang w:val="ro-RO"/>
        </w:rPr>
        <w:t>ă</w:t>
      </w:r>
      <w:r w:rsidRPr="00301A5F">
        <w:rPr>
          <w:lang w:val="ro-RO"/>
        </w:rPr>
        <w:t xml:space="preserve"> sau de referință).</w:t>
      </w:r>
      <w:r>
        <w:rPr>
          <w:lang w:val="ro-RO"/>
        </w:rPr>
        <w:t xml:space="preserve"> Datele sunt prezentate în Figura 6, în care comparăm prețurile din luna iunie a anului respectiv cu cele din luna decembrie a anului precedent.</w:t>
      </w:r>
    </w:p>
    <w:p w14:paraId="5EC7C4CB" w14:textId="32C1C6BD" w:rsidR="00A26220" w:rsidRDefault="00A26220" w:rsidP="00A26220">
      <w:pPr>
        <w:spacing w:line="360" w:lineRule="auto"/>
        <w:jc w:val="center"/>
        <w:rPr>
          <w:b/>
          <w:bCs/>
          <w:lang w:val="ro-RO"/>
        </w:rPr>
      </w:pPr>
      <w:r w:rsidRPr="00392F4B">
        <w:rPr>
          <w:b/>
          <w:bCs/>
          <w:lang w:val="ro-RO"/>
        </w:rPr>
        <w:t>Figura 6: Evoluția Indicelui Prețurilor de Consum, inclusiv pentru energie electrică, gaze naturale și încălzir</w:t>
      </w:r>
      <w:r w:rsidR="00392F4B">
        <w:rPr>
          <w:b/>
          <w:bCs/>
          <w:lang w:val="ro-RO"/>
        </w:rPr>
        <w:t>e centralizată</w:t>
      </w:r>
    </w:p>
    <w:p w14:paraId="7189C4B0" w14:textId="741602FE" w:rsidR="00301A5F" w:rsidRDefault="00A26220" w:rsidP="001908D8">
      <w:pPr>
        <w:spacing w:line="360" w:lineRule="auto"/>
        <w:jc w:val="center"/>
        <w:rPr>
          <w:lang w:val="ro-RO"/>
        </w:rPr>
      </w:pPr>
      <w:r>
        <w:rPr>
          <w:b/>
          <w:bCs/>
          <w:noProof/>
          <w:lang w:val="ro-RO"/>
        </w:rPr>
        <w:lastRenderedPageBreak/>
        <w:drawing>
          <wp:inline distT="0" distB="0" distL="0" distR="0" wp14:anchorId="1ABF7D27" wp14:editId="3CDC4A7E">
            <wp:extent cx="5943600" cy="35661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347E9595" w14:textId="70718F50" w:rsidR="00392F4B" w:rsidRDefault="00392F4B" w:rsidP="00CF17D7">
      <w:pPr>
        <w:spacing w:line="360" w:lineRule="auto"/>
        <w:ind w:firstLine="567"/>
        <w:jc w:val="both"/>
        <w:rPr>
          <w:lang w:val="ro-RO"/>
        </w:rPr>
      </w:pPr>
      <w:r>
        <w:rPr>
          <w:lang w:val="ro-RO"/>
        </w:rPr>
        <w:t>Având în vedere ultimele evoluții, ne vom concentra pe discutarea dinamicii IPC în ultimul an, comparând luna iunie 2022 cu decembrie 2021. La nivel total, creșterea IPC este de 10% în acest interval. Dacă este să privim la creșterea din segmentul care include energia electrică, gazele naturale și încă</w:t>
      </w:r>
      <w:r w:rsidR="006E0D19">
        <w:rPr>
          <w:lang w:val="ro-RO"/>
        </w:rPr>
        <w:t xml:space="preserve">lzirea centralizată, ea a fost de 21,7% în perioada studiată. În continuare, putem distinge între aceste trei categorii. Astfel, între decembrie 2021 și iunie 2022, creșterea la energie electrică a fost de 20,4%. La gaze naturale, </w:t>
      </w:r>
      <w:r w:rsidR="00A378C0">
        <w:rPr>
          <w:lang w:val="ro-RO"/>
        </w:rPr>
        <w:t xml:space="preserve">mărirea </w:t>
      </w:r>
      <w:r w:rsidR="006E0D19">
        <w:rPr>
          <w:lang w:val="ro-RO"/>
        </w:rPr>
        <w:t xml:space="preserve">prețurilor a fost de 25%, pentru ca, la încălzirea centralizată, </w:t>
      </w:r>
      <w:r w:rsidR="00A378C0">
        <w:rPr>
          <w:lang w:val="ro-RO"/>
        </w:rPr>
        <w:t xml:space="preserve">plusul </w:t>
      </w:r>
      <w:r w:rsidR="006E0D19">
        <w:rPr>
          <w:lang w:val="ro-RO"/>
        </w:rPr>
        <w:t>înregistrat să fie de 7,6%. Statisticile publice surprind așadar accelerarea creșterii prețurilor la energie, ceea ce va pune o presiune tot mai mare asupra bugetelor românilor.</w:t>
      </w:r>
    </w:p>
    <w:p w14:paraId="3DF2A479" w14:textId="4F93E939" w:rsidR="00577138" w:rsidRDefault="00577138" w:rsidP="00577138">
      <w:pPr>
        <w:spacing w:line="360" w:lineRule="auto"/>
        <w:ind w:firstLine="567"/>
        <w:jc w:val="both"/>
        <w:rPr>
          <w:lang w:val="ro-RO"/>
        </w:rPr>
      </w:pPr>
      <w:r>
        <w:rPr>
          <w:lang w:val="ro-RO"/>
        </w:rPr>
        <w:lastRenderedPageBreak/>
        <w:t>În fine, ultimul indicator obiectiv pe care îl vom investiga este cel al situației locuințelor noi după dotarea cu instalații. Conform INS, l</w:t>
      </w:r>
      <w:r w:rsidRPr="00577138">
        <w:rPr>
          <w:lang w:val="ro-RO"/>
        </w:rPr>
        <w:t>ocuin</w:t>
      </w:r>
      <w:r>
        <w:rPr>
          <w:lang w:val="ro-RO"/>
        </w:rPr>
        <w:t>ț</w:t>
      </w:r>
      <w:r w:rsidRPr="00577138">
        <w:rPr>
          <w:lang w:val="ro-RO"/>
        </w:rPr>
        <w:t>a terminat</w:t>
      </w:r>
      <w:r>
        <w:rPr>
          <w:lang w:val="ro-RO"/>
        </w:rPr>
        <w:t>ă</w:t>
      </w:r>
      <w:r w:rsidRPr="00577138">
        <w:rPr>
          <w:lang w:val="ro-RO"/>
        </w:rPr>
        <w:t xml:space="preserve"> </w:t>
      </w:r>
      <w:r>
        <w:rPr>
          <w:lang w:val="ro-RO"/>
        </w:rPr>
        <w:t>î</w:t>
      </w:r>
      <w:r w:rsidRPr="00577138">
        <w:rPr>
          <w:lang w:val="ro-RO"/>
        </w:rPr>
        <w:t>n cursul unui an este construcția cu aceast</w:t>
      </w:r>
      <w:r>
        <w:rPr>
          <w:lang w:val="ro-RO"/>
        </w:rPr>
        <w:t>ă</w:t>
      </w:r>
      <w:r w:rsidRPr="00577138">
        <w:rPr>
          <w:lang w:val="ro-RO"/>
        </w:rPr>
        <w:t xml:space="preserve"> destinație, terminat</w:t>
      </w:r>
      <w:r>
        <w:rPr>
          <w:lang w:val="ro-RO"/>
        </w:rPr>
        <w:t>ă</w:t>
      </w:r>
      <w:r w:rsidRPr="00577138">
        <w:rPr>
          <w:lang w:val="ro-RO"/>
        </w:rPr>
        <w:t xml:space="preserve"> complet </w:t>
      </w:r>
      <w:r>
        <w:rPr>
          <w:lang w:val="ro-RO"/>
        </w:rPr>
        <w:t>î</w:t>
      </w:r>
      <w:r w:rsidRPr="00577138">
        <w:rPr>
          <w:lang w:val="ro-RO"/>
        </w:rPr>
        <w:t>n anul de referință, care nu a existat anterior (ale cărei elemente, inclusiv fundația, s-au construit pentru prima dat</w:t>
      </w:r>
      <w:r>
        <w:rPr>
          <w:lang w:val="ro-RO"/>
        </w:rPr>
        <w:t>ă</w:t>
      </w:r>
      <w:r w:rsidRPr="00577138">
        <w:rPr>
          <w:lang w:val="ro-RO"/>
        </w:rPr>
        <w:t xml:space="preserve">) si la care s-au realizat toate categoriile de lucrări prevăzute </w:t>
      </w:r>
      <w:r>
        <w:rPr>
          <w:lang w:val="ro-RO"/>
        </w:rPr>
        <w:t>î</w:t>
      </w:r>
      <w:r w:rsidRPr="00577138">
        <w:rPr>
          <w:lang w:val="ro-RO"/>
        </w:rPr>
        <w:t>n documentația de execuție, fiind recepționată de beneficiari.</w:t>
      </w:r>
      <w:r>
        <w:rPr>
          <w:lang w:val="ro-RO"/>
        </w:rPr>
        <w:t xml:space="preserve"> Datele sunt vizualizate în Figura 7.</w:t>
      </w:r>
    </w:p>
    <w:p w14:paraId="08606E0D" w14:textId="2CA1CAD4" w:rsidR="00577138" w:rsidRDefault="00577138" w:rsidP="00577138">
      <w:pPr>
        <w:spacing w:line="360" w:lineRule="auto"/>
        <w:ind w:firstLine="567"/>
        <w:jc w:val="both"/>
        <w:rPr>
          <w:lang w:val="ro-RO"/>
        </w:rPr>
      </w:pPr>
    </w:p>
    <w:p w14:paraId="55EF04E6" w14:textId="1D4B6B1C" w:rsidR="00577138" w:rsidRDefault="00577138" w:rsidP="00577138">
      <w:pPr>
        <w:spacing w:line="360" w:lineRule="auto"/>
        <w:jc w:val="center"/>
        <w:rPr>
          <w:b/>
          <w:bCs/>
          <w:lang w:val="ro-RO"/>
        </w:rPr>
      </w:pPr>
      <w:r w:rsidRPr="009B55BE">
        <w:rPr>
          <w:b/>
          <w:bCs/>
          <w:lang w:val="ro-RO"/>
        </w:rPr>
        <w:t>Figura 7: Locuințele terminate în cursul anului după dotarea cu instalații</w:t>
      </w:r>
    </w:p>
    <w:p w14:paraId="7158E397" w14:textId="77777777" w:rsidR="00AC53C1" w:rsidRDefault="00AC53C1" w:rsidP="00577138">
      <w:pPr>
        <w:spacing w:line="360" w:lineRule="auto"/>
        <w:jc w:val="center"/>
        <w:rPr>
          <w:b/>
          <w:bCs/>
          <w:lang w:val="ro-RO"/>
        </w:rPr>
      </w:pPr>
    </w:p>
    <w:p w14:paraId="49771E3B" w14:textId="504AD3E1" w:rsidR="00577138" w:rsidRPr="009B55BE" w:rsidRDefault="009B55BE" w:rsidP="009B55BE">
      <w:pPr>
        <w:spacing w:line="360" w:lineRule="auto"/>
        <w:jc w:val="center"/>
        <w:rPr>
          <w:b/>
          <w:bCs/>
          <w:lang w:val="en-US"/>
        </w:rPr>
      </w:pPr>
      <w:r>
        <w:rPr>
          <w:b/>
          <w:bCs/>
          <w:noProof/>
          <w:lang w:val="en-US"/>
        </w:rPr>
        <w:drawing>
          <wp:inline distT="0" distB="0" distL="0" distR="0" wp14:anchorId="61AF3ECB" wp14:editId="42CADF27">
            <wp:extent cx="5943600" cy="35661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156A65C5" w14:textId="77777777" w:rsidR="00AC53C1" w:rsidRDefault="00AC53C1" w:rsidP="00CF17D7">
      <w:pPr>
        <w:spacing w:line="360" w:lineRule="auto"/>
        <w:ind w:firstLine="567"/>
        <w:jc w:val="both"/>
        <w:rPr>
          <w:lang w:val="ro-RO"/>
        </w:rPr>
      </w:pPr>
    </w:p>
    <w:p w14:paraId="332C519A" w14:textId="4B5EF85A" w:rsidR="00392F4B" w:rsidRDefault="009B55BE" w:rsidP="00CF17D7">
      <w:pPr>
        <w:spacing w:line="360" w:lineRule="auto"/>
        <w:ind w:firstLine="567"/>
        <w:jc w:val="both"/>
        <w:rPr>
          <w:lang w:val="ro-RO"/>
        </w:rPr>
      </w:pPr>
      <w:r>
        <w:rPr>
          <w:lang w:val="ro-RO"/>
        </w:rPr>
        <w:t>După 2010, observăm o scădere a numărului de locuințe noi care au sobe cu gaze sau sobe cu combustibil solid. În același interval post-2010 (în special începând cu 2012), în contextul creșterii numărului de locuințe noi, se vede o creștere a locuințelor noi alimentate cu apă potabilă, cu baie, cu centrală termică, cu instalație electrică și racordate la sistemul de canalizare. Creșterea nivelului general de bunăstare din România se traduce și în calitatea caselor pe care și le construiesc românii. De exemplu, în ceea ce privește locuințele noi cu centrală termică, numărul a crescut de la 15072 în 1994 la 67011 în 2021, o creștere de 344,6%. Similar, în ceea ce privește numărul locuințelor noi conectate la rețeaua electrică, el a crescut de la 33939 în 1995 la 71343 în 2021</w:t>
      </w:r>
      <w:r w:rsidR="001D4E01">
        <w:rPr>
          <w:lang w:val="ro-RO"/>
        </w:rPr>
        <w:t>.</w:t>
      </w:r>
    </w:p>
    <w:p w14:paraId="0193ECF0" w14:textId="77777777" w:rsidR="009A4C00" w:rsidRPr="0030124E" w:rsidRDefault="009A4C00" w:rsidP="000C5105">
      <w:pPr>
        <w:spacing w:line="360" w:lineRule="auto"/>
        <w:jc w:val="both"/>
        <w:rPr>
          <w:lang w:val="ro-RO"/>
        </w:rPr>
      </w:pPr>
    </w:p>
    <w:p w14:paraId="45A2B075" w14:textId="2BA26096" w:rsidR="000C5105" w:rsidRDefault="009A4C00" w:rsidP="009A4C00">
      <w:pPr>
        <w:spacing w:line="360" w:lineRule="auto"/>
        <w:ind w:firstLine="567"/>
        <w:jc w:val="both"/>
        <w:rPr>
          <w:b/>
          <w:bCs/>
          <w:lang w:val="ro-RO"/>
        </w:rPr>
      </w:pPr>
      <w:r w:rsidRPr="0030124E">
        <w:rPr>
          <w:b/>
          <w:bCs/>
          <w:lang w:val="ro-RO"/>
        </w:rPr>
        <w:t>Ce spun datele subiective</w:t>
      </w:r>
    </w:p>
    <w:p w14:paraId="1B910AA2" w14:textId="255A6F66" w:rsidR="001D4E01" w:rsidRPr="00FC2C1B" w:rsidRDefault="00F60514" w:rsidP="00FC2C1B">
      <w:pPr>
        <w:spacing w:line="360" w:lineRule="auto"/>
        <w:ind w:firstLine="567"/>
        <w:jc w:val="both"/>
        <w:rPr>
          <w:lang w:val="ro-RO"/>
        </w:rPr>
      </w:pPr>
      <w:r w:rsidRPr="00B24ADD">
        <w:rPr>
          <w:lang w:val="ro-RO"/>
        </w:rPr>
        <w:t>Pentru a putea avea perspectiva oferită de datele subiective, vom face apel la datele de opinie publică generate în cadrul proiectului “România Durabilă”, comparând evoluțiile din barometrele RD</w:t>
      </w:r>
      <w:r>
        <w:rPr>
          <w:lang w:val="ro-RO"/>
        </w:rPr>
        <w:t>12</w:t>
      </w:r>
      <w:r w:rsidRPr="00B24ADD">
        <w:rPr>
          <w:lang w:val="ro-RO"/>
        </w:rPr>
        <w:t xml:space="preserve"> (</w:t>
      </w:r>
      <w:r>
        <w:rPr>
          <w:lang w:val="ro-RO"/>
        </w:rPr>
        <w:t>decembrie</w:t>
      </w:r>
      <w:r w:rsidRPr="00B24ADD">
        <w:rPr>
          <w:lang w:val="ro-RO"/>
        </w:rPr>
        <w:t xml:space="preserve"> 2020) și RD3</w:t>
      </w:r>
      <w:r>
        <w:rPr>
          <w:lang w:val="ro-RO"/>
        </w:rPr>
        <w:t>2</w:t>
      </w:r>
      <w:r w:rsidRPr="00B24ADD">
        <w:rPr>
          <w:lang w:val="ro-RO"/>
        </w:rPr>
        <w:t xml:space="preserve"> (</w:t>
      </w:r>
      <w:r>
        <w:rPr>
          <w:lang w:val="ro-RO"/>
        </w:rPr>
        <w:t>decembrie</w:t>
      </w:r>
      <w:r w:rsidRPr="00B24ADD">
        <w:rPr>
          <w:lang w:val="ro-RO"/>
        </w:rPr>
        <w:t xml:space="preserve"> 2021</w:t>
      </w:r>
      <w:r>
        <w:rPr>
          <w:lang w:val="ro-RO"/>
        </w:rPr>
        <w:t xml:space="preserve"> – ianuarie 2022)</w:t>
      </w:r>
      <w:r w:rsidRPr="00B24ADD">
        <w:rPr>
          <w:lang w:val="ro-RO"/>
        </w:rPr>
        <w:t xml:space="preserve">. </w:t>
      </w:r>
    </w:p>
    <w:p w14:paraId="3C93B7DD" w14:textId="6E23503C" w:rsidR="00E909BA" w:rsidRPr="0030124E" w:rsidRDefault="00AD6BB6" w:rsidP="009A4C00">
      <w:pPr>
        <w:spacing w:line="360" w:lineRule="auto"/>
        <w:ind w:firstLine="567"/>
        <w:jc w:val="both"/>
        <w:rPr>
          <w:lang w:val="ro-RO"/>
        </w:rPr>
      </w:pPr>
      <w:r w:rsidRPr="0030124E">
        <w:rPr>
          <w:lang w:val="ro-RO"/>
        </w:rPr>
        <w:t>Vom începe cu evaluările cetățenilor despre utilizarea energiei electrice</w:t>
      </w:r>
      <w:r w:rsidR="00370960" w:rsidRPr="0030124E">
        <w:rPr>
          <w:lang w:val="ro-RO"/>
        </w:rPr>
        <w:t xml:space="preserve"> furnizate prin rețeaua publică</w:t>
      </w:r>
      <w:r w:rsidRPr="0030124E">
        <w:rPr>
          <w:lang w:val="ro-RO"/>
        </w:rPr>
        <w:t>. Grafic, rezultatele sunt prezente în Figura 8.</w:t>
      </w:r>
    </w:p>
    <w:p w14:paraId="23CE5327" w14:textId="3D58C048" w:rsidR="00AD6BB6" w:rsidRPr="0030124E" w:rsidRDefault="00AD6BB6" w:rsidP="009A4C00">
      <w:pPr>
        <w:spacing w:line="360" w:lineRule="auto"/>
        <w:ind w:firstLine="567"/>
        <w:jc w:val="both"/>
        <w:rPr>
          <w:lang w:val="ro-RO"/>
        </w:rPr>
      </w:pPr>
    </w:p>
    <w:p w14:paraId="10D55E14" w14:textId="5BC9F5DF" w:rsidR="00AD6BB6" w:rsidRPr="0030124E" w:rsidRDefault="00AD6BB6" w:rsidP="00DC38C8">
      <w:pPr>
        <w:spacing w:line="360" w:lineRule="auto"/>
        <w:ind w:firstLine="567"/>
        <w:jc w:val="center"/>
        <w:rPr>
          <w:b/>
          <w:bCs/>
          <w:lang w:val="ro-RO"/>
        </w:rPr>
      </w:pPr>
      <w:r w:rsidRPr="0030124E">
        <w:rPr>
          <w:b/>
          <w:bCs/>
          <w:lang w:val="ro-RO"/>
        </w:rPr>
        <w:t>Figura 8</w:t>
      </w:r>
      <w:r w:rsidR="00FC2C1B">
        <w:rPr>
          <w:b/>
          <w:bCs/>
          <w:lang w:val="ro-RO"/>
        </w:rPr>
        <w:t>:</w:t>
      </w:r>
      <w:r w:rsidRPr="0030124E">
        <w:rPr>
          <w:b/>
          <w:bCs/>
          <w:lang w:val="ro-RO"/>
        </w:rPr>
        <w:t xml:space="preserve"> Evaluări privind utilizarea energiei electrice (sondaj</w:t>
      </w:r>
      <w:r w:rsidR="00FC2C1B">
        <w:rPr>
          <w:b/>
          <w:bCs/>
          <w:lang w:val="ro-RO"/>
        </w:rPr>
        <w:t>ele</w:t>
      </w:r>
      <w:r w:rsidRPr="0030124E">
        <w:rPr>
          <w:b/>
          <w:bCs/>
          <w:lang w:val="ro-RO"/>
        </w:rPr>
        <w:t xml:space="preserve"> de opinie RD12</w:t>
      </w:r>
      <w:r w:rsidR="00FC2C1B">
        <w:rPr>
          <w:b/>
          <w:bCs/>
          <w:lang w:val="ro-RO"/>
        </w:rPr>
        <w:t xml:space="preserve"> și RD32</w:t>
      </w:r>
      <w:r w:rsidRPr="0030124E">
        <w:rPr>
          <w:b/>
          <w:bCs/>
          <w:lang w:val="ro-RO"/>
        </w:rPr>
        <w:t>)</w:t>
      </w:r>
    </w:p>
    <w:p w14:paraId="139EB9B8" w14:textId="425CB471" w:rsidR="00AD6BB6" w:rsidRPr="0030124E" w:rsidRDefault="00FC2C1B" w:rsidP="00AD6BB6">
      <w:pPr>
        <w:spacing w:line="360" w:lineRule="auto"/>
        <w:jc w:val="center"/>
        <w:rPr>
          <w:b/>
          <w:bCs/>
          <w:lang w:val="ro-RO"/>
        </w:rPr>
      </w:pPr>
      <w:r>
        <w:rPr>
          <w:b/>
          <w:bCs/>
          <w:noProof/>
          <w:lang w:val="ro-RO"/>
        </w:rPr>
        <w:lastRenderedPageBreak/>
        <w:drawing>
          <wp:inline distT="0" distB="0" distL="0" distR="0" wp14:anchorId="4627C975" wp14:editId="45A28BF0">
            <wp:extent cx="594360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AE20D11" w14:textId="681303C2" w:rsidR="00FC2C1B" w:rsidRDefault="001D10BC" w:rsidP="00FC2C1B">
      <w:pPr>
        <w:spacing w:line="360" w:lineRule="auto"/>
        <w:ind w:firstLine="567"/>
        <w:jc w:val="both"/>
        <w:rPr>
          <w:lang w:val="ro-RO"/>
        </w:rPr>
      </w:pPr>
      <w:r w:rsidRPr="0030124E">
        <w:rPr>
          <w:lang w:val="ro-RO"/>
        </w:rPr>
        <w:t>Așa cum se poate observa</w:t>
      </w:r>
      <w:r w:rsidR="00FC2C1B">
        <w:rPr>
          <w:lang w:val="ro-RO"/>
        </w:rPr>
        <w:t xml:space="preserve"> în Figura 8</w:t>
      </w:r>
      <w:r w:rsidRPr="0030124E">
        <w:rPr>
          <w:lang w:val="ro-RO"/>
        </w:rPr>
        <w:t xml:space="preserve">, peste 99% dintre respondenți </w:t>
      </w:r>
      <w:r w:rsidR="00B14752" w:rsidRPr="0030124E">
        <w:rPr>
          <w:lang w:val="ro-RO"/>
        </w:rPr>
        <w:t xml:space="preserve">sunt racordați la energia electrică, </w:t>
      </w:r>
      <w:r w:rsidR="00FC2C1B">
        <w:rPr>
          <w:lang w:val="ro-RO"/>
        </w:rPr>
        <w:t xml:space="preserve">o proporție care se înregistrează atât </w:t>
      </w:r>
      <w:r w:rsidR="00AC53C1">
        <w:rPr>
          <w:lang w:val="ro-RO"/>
        </w:rPr>
        <w:t xml:space="preserve">în </w:t>
      </w:r>
      <w:r w:rsidR="00FC2C1B">
        <w:rPr>
          <w:lang w:val="ro-RO"/>
        </w:rPr>
        <w:t>primul val al analizei (decembrie 2020), cât și în cel de-al doilea (decembrie 2021 – ianuarie 2022). În primul val, 89% dintre români erau mulțumiți de furnizarea energiei electrice, pentru ca, în valul al doilea, doar 86% să mai afirme acest lucru – o scădere ușoară, care totuși scoate în evidență că 14% dintre români sunt nemulțumiți de serviciul de furnizare a energiei electrice.</w:t>
      </w:r>
      <w:r w:rsidR="0033705D">
        <w:rPr>
          <w:lang w:val="ro-RO"/>
        </w:rPr>
        <w:t xml:space="preserve"> Similar, vedem o diminuare a celor care spun că sunt mulțumiți de intervențiile la rețeaua de energie electrică: dacă, în valul 1, 78% erau mulțumiți, în valul 2 doar 73% mai împărtășeau o asemenea opinie. </w:t>
      </w:r>
      <w:r w:rsidR="00AC53C1">
        <w:rPr>
          <w:lang w:val="ro-RO"/>
        </w:rPr>
        <w:t>O s</w:t>
      </w:r>
      <w:r w:rsidR="00232D46">
        <w:rPr>
          <w:lang w:val="ro-RO"/>
        </w:rPr>
        <w:t xml:space="preserve">cădere abruptă, de 20 puncte procentuale, </w:t>
      </w:r>
      <w:r w:rsidR="00FE6CE7">
        <w:rPr>
          <w:lang w:val="ro-RO"/>
        </w:rPr>
        <w:t xml:space="preserve">se observă atunci când românii sunt puși să evalueze dacă sunt mulțumiți de valoarea facturii la energia electrică: de la 71% mulțumiți în decembrie 2020, proporția s-a redus la 51% în decembrie 2021 – ianuarie 2022. </w:t>
      </w:r>
      <w:r w:rsidR="006D32E0">
        <w:rPr>
          <w:lang w:val="ro-RO"/>
        </w:rPr>
        <w:t xml:space="preserve">Criza creșterii prețurilor în energie a dus la </w:t>
      </w:r>
      <w:r w:rsidR="006D32E0">
        <w:rPr>
          <w:lang w:val="ro-RO"/>
        </w:rPr>
        <w:lastRenderedPageBreak/>
        <w:t>schimbări substanțiale la nivelul opiniei publice.</w:t>
      </w:r>
      <w:r w:rsidR="004210F2">
        <w:rPr>
          <w:lang w:val="ro-RO"/>
        </w:rPr>
        <w:t xml:space="preserve"> </w:t>
      </w:r>
      <w:r w:rsidR="00AC53C1">
        <w:rPr>
          <w:lang w:val="ro-RO"/>
        </w:rPr>
        <w:t>Spre comparație</w:t>
      </w:r>
      <w:r w:rsidR="004210F2">
        <w:rPr>
          <w:lang w:val="ro-RO"/>
        </w:rPr>
        <w:t>, din perspectiva datelor obiective ale INS, în decembrie 2021, prețul la energie electrică a crescut cu 14,9% față de decembrie 2020.</w:t>
      </w:r>
    </w:p>
    <w:p w14:paraId="6125A9D2" w14:textId="4AB40303" w:rsidR="006D32E0" w:rsidRDefault="006D32E0" w:rsidP="00FC2C1B">
      <w:pPr>
        <w:spacing w:line="360" w:lineRule="auto"/>
        <w:ind w:firstLine="567"/>
        <w:jc w:val="both"/>
        <w:rPr>
          <w:lang w:val="ro-RO"/>
        </w:rPr>
      </w:pPr>
    </w:p>
    <w:p w14:paraId="411F43A8" w14:textId="72A3C946" w:rsidR="006D32E0" w:rsidRPr="0030124E" w:rsidRDefault="006D32E0" w:rsidP="006D32E0">
      <w:pPr>
        <w:spacing w:line="360" w:lineRule="auto"/>
        <w:ind w:firstLine="567"/>
        <w:jc w:val="center"/>
        <w:rPr>
          <w:b/>
          <w:bCs/>
          <w:lang w:val="ro-RO"/>
        </w:rPr>
      </w:pPr>
      <w:r w:rsidRPr="0030124E">
        <w:rPr>
          <w:b/>
          <w:bCs/>
          <w:lang w:val="ro-RO"/>
        </w:rPr>
        <w:t xml:space="preserve">Figura </w:t>
      </w:r>
      <w:r>
        <w:rPr>
          <w:b/>
          <w:bCs/>
          <w:lang w:val="ro-RO"/>
        </w:rPr>
        <w:t>9:</w:t>
      </w:r>
      <w:r w:rsidRPr="0030124E">
        <w:rPr>
          <w:b/>
          <w:bCs/>
          <w:lang w:val="ro-RO"/>
        </w:rPr>
        <w:t xml:space="preserve"> Evaluări privind utilizarea </w:t>
      </w:r>
      <w:r>
        <w:rPr>
          <w:b/>
          <w:bCs/>
          <w:lang w:val="ro-RO"/>
        </w:rPr>
        <w:t>gazelor naturale</w:t>
      </w:r>
      <w:r w:rsidRPr="0030124E">
        <w:rPr>
          <w:b/>
          <w:bCs/>
          <w:lang w:val="ro-RO"/>
        </w:rPr>
        <w:t xml:space="preserve"> (sondaj</w:t>
      </w:r>
      <w:r>
        <w:rPr>
          <w:b/>
          <w:bCs/>
          <w:lang w:val="ro-RO"/>
        </w:rPr>
        <w:t>ele</w:t>
      </w:r>
      <w:r w:rsidRPr="0030124E">
        <w:rPr>
          <w:b/>
          <w:bCs/>
          <w:lang w:val="ro-RO"/>
        </w:rPr>
        <w:t xml:space="preserve"> de opinie RD12</w:t>
      </w:r>
      <w:r>
        <w:rPr>
          <w:b/>
          <w:bCs/>
          <w:lang w:val="ro-RO"/>
        </w:rPr>
        <w:t xml:space="preserve"> și RD32</w:t>
      </w:r>
      <w:r w:rsidRPr="0030124E">
        <w:rPr>
          <w:b/>
          <w:bCs/>
          <w:lang w:val="ro-RO"/>
        </w:rPr>
        <w:t>)</w:t>
      </w:r>
    </w:p>
    <w:p w14:paraId="76E479F4" w14:textId="2645E68E" w:rsidR="006D32E0" w:rsidRDefault="006D32E0" w:rsidP="006D32E0">
      <w:pPr>
        <w:spacing w:line="360" w:lineRule="auto"/>
        <w:jc w:val="center"/>
        <w:rPr>
          <w:lang w:val="ro-RO"/>
        </w:rPr>
      </w:pPr>
      <w:r>
        <w:rPr>
          <w:noProof/>
          <w:lang w:val="ro-RO"/>
        </w:rPr>
        <w:drawing>
          <wp:inline distT="0" distB="0" distL="0" distR="0" wp14:anchorId="6B037352" wp14:editId="5BD4AC0D">
            <wp:extent cx="5943600" cy="297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D9F0E04" w14:textId="61DAC1FB" w:rsidR="0005293F" w:rsidRPr="0030124E" w:rsidRDefault="006D32E0" w:rsidP="0005293F">
      <w:pPr>
        <w:spacing w:line="360" w:lineRule="auto"/>
        <w:ind w:firstLine="567"/>
        <w:jc w:val="both"/>
        <w:rPr>
          <w:lang w:val="ro-RO"/>
        </w:rPr>
      </w:pPr>
      <w:r>
        <w:rPr>
          <w:lang w:val="ro-RO"/>
        </w:rPr>
        <w:t xml:space="preserve">În Figura 9, analizăm evaluările românilor </w:t>
      </w:r>
      <w:r w:rsidR="00B9659D">
        <w:rPr>
          <w:lang w:val="ro-RO"/>
        </w:rPr>
        <w:t>despre utilizarea gazelor naturale.</w:t>
      </w:r>
      <w:r w:rsidR="00136AB9">
        <w:rPr>
          <w:lang w:val="ro-RO"/>
        </w:rPr>
        <w:t xml:space="preserve"> Între cele două valuri</w:t>
      </w:r>
      <w:r w:rsidR="00212291">
        <w:rPr>
          <w:lang w:val="ro-RO"/>
        </w:rPr>
        <w:t xml:space="preserve"> de măsurare sociologică</w:t>
      </w:r>
      <w:r w:rsidR="00136AB9">
        <w:rPr>
          <w:lang w:val="ro-RO"/>
        </w:rPr>
        <w:t xml:space="preserve">, ponderea celor racordați la sistemul de gaze naturale a crescut cu trei puncte procentuale, de la 48% la 51%. De asemenea, observăm că a crescut și proporția celor care sunt mulțumiți de presiunea gazelor naturale furnizate, de la 42% în decembrie 2020 la 46% în decembrie 2021 – ianuarie 2022. Există o relativă constanță în ceea ce privește doi indicatori relevanți: 47% dintre români sunt mulțumiți de furnizarea gazelor naturale în ambele </w:t>
      </w:r>
      <w:r w:rsidR="00136AB9">
        <w:rPr>
          <w:lang w:val="ro-RO"/>
        </w:rPr>
        <w:lastRenderedPageBreak/>
        <w:t>valuri ale cercetării; de asemenea, 42% erau mulțumiți de intervențiile la rețeaua de gaze naturale în valul 1 și, foarte similar, 43% în valul 2.</w:t>
      </w:r>
      <w:r w:rsidR="004210F2">
        <w:rPr>
          <w:lang w:val="ro-RO"/>
        </w:rPr>
        <w:t xml:space="preserve"> Tema centrală pentru felul în care se raportează românii la gazele naturale este prețul: așa cum se poate vedea, între cele două valuri, scăderea celor care sunt mulțumiți de cuantumul facturii la gaze</w:t>
      </w:r>
      <w:r w:rsidR="00212291">
        <w:rPr>
          <w:lang w:val="ro-RO"/>
        </w:rPr>
        <w:t>le</w:t>
      </w:r>
      <w:r w:rsidR="004210F2">
        <w:rPr>
          <w:lang w:val="ro-RO"/>
        </w:rPr>
        <w:t xml:space="preserve"> naturale este accelerată. De la 39% în valul 1, doar 26% dintre români sunt mulțumiți de valoarea facturii</w:t>
      </w:r>
      <w:r w:rsidR="00212291">
        <w:rPr>
          <w:lang w:val="ro-RO"/>
        </w:rPr>
        <w:t xml:space="preserve"> în valul 2</w:t>
      </w:r>
      <w:r w:rsidR="004210F2">
        <w:rPr>
          <w:lang w:val="ro-RO"/>
        </w:rPr>
        <w:t xml:space="preserve">. Din perspectivă obiectivă, potrivit datelor INS, în decembrie 2021, comparativ cu decembrie 2020, prețul la gaze naturale a crescut cu 51,6%. </w:t>
      </w:r>
      <w:r w:rsidR="0005293F">
        <w:rPr>
          <w:lang w:val="ro-RO"/>
        </w:rPr>
        <w:t>Așa cum se vede</w:t>
      </w:r>
      <w:r w:rsidR="00212291">
        <w:rPr>
          <w:lang w:val="ro-RO"/>
        </w:rPr>
        <w:t xml:space="preserve"> foarte ușor</w:t>
      </w:r>
      <w:r w:rsidR="0005293F">
        <w:rPr>
          <w:lang w:val="ro-RO"/>
        </w:rPr>
        <w:t>, românii reacționează la criza energetică și sunt tot mai nemulțumiți de prețurile la gaze naturale.</w:t>
      </w:r>
    </w:p>
    <w:p w14:paraId="48C14F9F" w14:textId="77777777" w:rsidR="00BC2CAE" w:rsidRPr="0030124E" w:rsidRDefault="00BC2CAE" w:rsidP="00BC2CAE">
      <w:pPr>
        <w:spacing w:line="360" w:lineRule="auto"/>
        <w:jc w:val="both"/>
        <w:rPr>
          <w:lang w:val="ro-RO"/>
        </w:rPr>
      </w:pPr>
    </w:p>
    <w:p w14:paraId="56805583" w14:textId="09EE05D3" w:rsidR="00BC2CAE" w:rsidRPr="0030124E" w:rsidRDefault="00BC2CAE" w:rsidP="00DC38C8">
      <w:pPr>
        <w:spacing w:line="360" w:lineRule="auto"/>
        <w:ind w:firstLine="567"/>
        <w:jc w:val="center"/>
        <w:rPr>
          <w:b/>
          <w:bCs/>
          <w:lang w:val="ro-RO"/>
        </w:rPr>
      </w:pPr>
      <w:r w:rsidRPr="0030124E">
        <w:rPr>
          <w:b/>
          <w:bCs/>
          <w:lang w:val="ro-RO"/>
        </w:rPr>
        <w:t>Figura 10</w:t>
      </w:r>
      <w:r w:rsidR="0005293F">
        <w:rPr>
          <w:lang w:val="ro-RO"/>
        </w:rPr>
        <w:t xml:space="preserve">: </w:t>
      </w:r>
      <w:r w:rsidRPr="0030124E">
        <w:rPr>
          <w:b/>
          <w:bCs/>
          <w:lang w:val="ro-RO"/>
        </w:rPr>
        <w:t xml:space="preserve">Evaluări privind utilizarea sistemului public centralizat de energie termică </w:t>
      </w:r>
      <w:r w:rsidR="0005293F" w:rsidRPr="0030124E">
        <w:rPr>
          <w:b/>
          <w:bCs/>
          <w:lang w:val="ro-RO"/>
        </w:rPr>
        <w:t>(sondaj</w:t>
      </w:r>
      <w:r w:rsidR="0005293F">
        <w:rPr>
          <w:b/>
          <w:bCs/>
          <w:lang w:val="ro-RO"/>
        </w:rPr>
        <w:t>ele</w:t>
      </w:r>
      <w:r w:rsidR="0005293F" w:rsidRPr="0030124E">
        <w:rPr>
          <w:b/>
          <w:bCs/>
          <w:lang w:val="ro-RO"/>
        </w:rPr>
        <w:t xml:space="preserve"> de opinie RD12</w:t>
      </w:r>
      <w:r w:rsidR="0005293F">
        <w:rPr>
          <w:b/>
          <w:bCs/>
          <w:lang w:val="ro-RO"/>
        </w:rPr>
        <w:t xml:space="preserve"> și RD32</w:t>
      </w:r>
      <w:r w:rsidR="0005293F" w:rsidRPr="0030124E">
        <w:rPr>
          <w:b/>
          <w:bCs/>
          <w:lang w:val="ro-RO"/>
        </w:rPr>
        <w:t>)</w:t>
      </w:r>
    </w:p>
    <w:p w14:paraId="3994D6B0" w14:textId="5D488C8D" w:rsidR="007F2B0E" w:rsidRDefault="0005293F" w:rsidP="00BC2CAE">
      <w:pPr>
        <w:spacing w:line="360" w:lineRule="auto"/>
        <w:jc w:val="center"/>
        <w:rPr>
          <w:b/>
          <w:bCs/>
          <w:lang w:val="ro-RO"/>
        </w:rPr>
      </w:pPr>
      <w:r>
        <w:rPr>
          <w:b/>
          <w:bCs/>
          <w:noProof/>
          <w:lang w:val="ro-RO"/>
        </w:rPr>
        <w:drawing>
          <wp:inline distT="0" distB="0" distL="0" distR="0" wp14:anchorId="5787395E" wp14:editId="3515252F">
            <wp:extent cx="594360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39C9399" w14:textId="77777777" w:rsidR="0005293F" w:rsidRPr="0030124E" w:rsidRDefault="0005293F" w:rsidP="00BC2CAE">
      <w:pPr>
        <w:spacing w:line="360" w:lineRule="auto"/>
        <w:jc w:val="center"/>
        <w:rPr>
          <w:b/>
          <w:bCs/>
          <w:lang w:val="ro-RO"/>
        </w:rPr>
      </w:pPr>
    </w:p>
    <w:p w14:paraId="00091D94" w14:textId="487B8685" w:rsidR="0005293F" w:rsidRDefault="00BC2CAE" w:rsidP="00BC2CAE">
      <w:pPr>
        <w:spacing w:line="360" w:lineRule="auto"/>
        <w:ind w:firstLine="567"/>
        <w:jc w:val="both"/>
        <w:rPr>
          <w:lang w:val="ro-RO"/>
        </w:rPr>
      </w:pPr>
      <w:r w:rsidRPr="0030124E">
        <w:rPr>
          <w:lang w:val="ro-RO"/>
        </w:rPr>
        <w:t>După energia electrică și gazele naturale, vom investiga atitudinile și evaluările românilor față de energia termică. Rezultatele descriptive sunt prezentate în Figura 10</w:t>
      </w:r>
      <w:r w:rsidR="0005293F">
        <w:rPr>
          <w:lang w:val="ro-RO"/>
        </w:rPr>
        <w:t>. Așa cum se poate vedea, avem o relativă constanță a ponderii celor care se încălzesc folosind sistemul public centralizat: 9% în valul 1 și 8% în valul 2. În plus, vedem o scădere a celor care afirmă că se încălzesc folosind soba cu lemne, de la 39% în valul 1 la 36% în valul 2.</w:t>
      </w:r>
      <w:r w:rsidR="00756B30">
        <w:rPr>
          <w:lang w:val="ro-RO"/>
        </w:rPr>
        <w:t xml:space="preserve"> Sub aspect obiectiv, potrivit INS, putem spune că, în decembrie 2021, costul energiei termice era cu 14,3% mai mare decât în decembrie 2020. Creșterea prețurilor se manifestă și cu privire la acest indicator.</w:t>
      </w:r>
    </w:p>
    <w:p w14:paraId="294204B5" w14:textId="3E987346" w:rsidR="0005293F" w:rsidRDefault="000F28B5" w:rsidP="00BC2CAE">
      <w:pPr>
        <w:spacing w:line="360" w:lineRule="auto"/>
        <w:ind w:firstLine="567"/>
        <w:jc w:val="both"/>
        <w:rPr>
          <w:lang w:val="ro-RO"/>
        </w:rPr>
      </w:pPr>
      <w:r>
        <w:rPr>
          <w:lang w:val="ro-RO"/>
        </w:rPr>
        <w:t>În Figura 11 surprindem evaluările românilor privind comportamentul de consum al energiei, precum și dotările și costurile asociate. În primul rând, observăm o creștere a ponderii celor care consideră tot mai mari cheltuielile cu energia</w:t>
      </w:r>
      <w:r w:rsidR="00212291">
        <w:rPr>
          <w:lang w:val="ro-RO"/>
        </w:rPr>
        <w:t xml:space="preserve"> ca parte a bugetului propriu</w:t>
      </w:r>
      <w:r>
        <w:rPr>
          <w:lang w:val="ro-RO"/>
        </w:rPr>
        <w:t xml:space="preserve">, de la 66% în decembrie 2020 la 81% în decembrie 2021 – ianuarie 2022. În decembrie 2021, comparativ cu decembrie 2020, spun datele INS, prețul la energie electrică, </w:t>
      </w:r>
      <w:r w:rsidR="00212291">
        <w:rPr>
          <w:lang w:val="ro-RO"/>
        </w:rPr>
        <w:t xml:space="preserve">la </w:t>
      </w:r>
      <w:r>
        <w:rPr>
          <w:lang w:val="ro-RO"/>
        </w:rPr>
        <w:t xml:space="preserve">gaze naturale și </w:t>
      </w:r>
      <w:r w:rsidR="00212291">
        <w:rPr>
          <w:lang w:val="ro-RO"/>
        </w:rPr>
        <w:t xml:space="preserve">la </w:t>
      </w:r>
      <w:r>
        <w:rPr>
          <w:lang w:val="ro-RO"/>
        </w:rPr>
        <w:t xml:space="preserve">încălzire a crescut cu 28,1%, față de doar 8,2% creștere totală a prețurilor. </w:t>
      </w:r>
      <w:r w:rsidR="0063243C">
        <w:rPr>
          <w:lang w:val="ro-RO"/>
        </w:rPr>
        <w:t>În acest context, datele obiective și cele subiective sunt aliniate. În al doilea rând,</w:t>
      </w:r>
      <w:r w:rsidR="000D5CCB">
        <w:rPr>
          <w:lang w:val="ro-RO"/>
        </w:rPr>
        <w:t xml:space="preserve"> tot mai mulți români identifică energia regenerabilă ca fiind sursa lor preferată de energie: de la 52% în valul 1, proporția crește la 66% în valul </w:t>
      </w:r>
      <w:r w:rsidR="00212291">
        <w:rPr>
          <w:lang w:val="ro-RO"/>
        </w:rPr>
        <w:t>2</w:t>
      </w:r>
      <w:r w:rsidR="000D5CCB">
        <w:rPr>
          <w:lang w:val="ro-RO"/>
        </w:rPr>
        <w:t xml:space="preserve">. În al treilea rând, a crescut proporția celor </w:t>
      </w:r>
      <w:r w:rsidR="00830004">
        <w:rPr>
          <w:lang w:val="ro-RO"/>
        </w:rPr>
        <w:t>c</w:t>
      </w:r>
      <w:r w:rsidR="000D5CCB">
        <w:rPr>
          <w:lang w:val="ro-RO"/>
        </w:rPr>
        <w:t xml:space="preserve">are raportează comportamente ecologice de consum a energiei: </w:t>
      </w:r>
      <w:r w:rsidR="00830004">
        <w:rPr>
          <w:lang w:val="ro-RO"/>
        </w:rPr>
        <w:t>70% spun, în valul 2, că deconectează electrocasnicele nefolosite (față de 56% în valul 1); 28% au acum locuința certificată energetic (față de 21% în valul 1); 72% au locuința termoizolată (față de 63% în valul 1); 86% dintre români folosesc becuri economice (față de 83% în valul 1); 85% dintre români folosesc electrocasnice eficiente energetic (față de 83% în valul 1).</w:t>
      </w:r>
    </w:p>
    <w:p w14:paraId="7F488C21" w14:textId="77777777" w:rsidR="00DC38C8" w:rsidRPr="0030124E" w:rsidRDefault="00DC38C8" w:rsidP="00652D2B">
      <w:pPr>
        <w:spacing w:line="360" w:lineRule="auto"/>
        <w:jc w:val="both"/>
        <w:rPr>
          <w:b/>
          <w:bCs/>
          <w:lang w:val="ro-RO"/>
        </w:rPr>
      </w:pPr>
    </w:p>
    <w:p w14:paraId="3F412AFA" w14:textId="60AD68F5" w:rsidR="00DC38C8" w:rsidRDefault="00DC38C8" w:rsidP="00DE10B8">
      <w:pPr>
        <w:spacing w:line="360" w:lineRule="auto"/>
        <w:ind w:firstLine="567"/>
        <w:jc w:val="center"/>
        <w:rPr>
          <w:b/>
          <w:bCs/>
          <w:lang w:val="ro-RO"/>
        </w:rPr>
      </w:pPr>
      <w:r w:rsidRPr="0030124E">
        <w:rPr>
          <w:b/>
          <w:bCs/>
          <w:lang w:val="ro-RO"/>
        </w:rPr>
        <w:t>Figura 1</w:t>
      </w:r>
      <w:r w:rsidR="000F28B5">
        <w:rPr>
          <w:b/>
          <w:bCs/>
          <w:lang w:val="ro-RO"/>
        </w:rPr>
        <w:t xml:space="preserve">1: </w:t>
      </w:r>
      <w:r w:rsidRPr="0030124E">
        <w:rPr>
          <w:b/>
          <w:bCs/>
          <w:lang w:val="ro-RO"/>
        </w:rPr>
        <w:t xml:space="preserve">Evaluări privind comportamentul de consum al energiei, dotări și costuri </w:t>
      </w:r>
      <w:r w:rsidR="000F28B5" w:rsidRPr="0030124E">
        <w:rPr>
          <w:b/>
          <w:bCs/>
          <w:lang w:val="ro-RO"/>
        </w:rPr>
        <w:t>(sondaj</w:t>
      </w:r>
      <w:r w:rsidR="000F28B5">
        <w:rPr>
          <w:b/>
          <w:bCs/>
          <w:lang w:val="ro-RO"/>
        </w:rPr>
        <w:t>ele</w:t>
      </w:r>
      <w:r w:rsidR="000F28B5" w:rsidRPr="0030124E">
        <w:rPr>
          <w:b/>
          <w:bCs/>
          <w:lang w:val="ro-RO"/>
        </w:rPr>
        <w:t xml:space="preserve"> de opinie RD12</w:t>
      </w:r>
      <w:r w:rsidR="000F28B5">
        <w:rPr>
          <w:b/>
          <w:bCs/>
          <w:lang w:val="ro-RO"/>
        </w:rPr>
        <w:t xml:space="preserve"> și RD32</w:t>
      </w:r>
      <w:r w:rsidR="000F28B5" w:rsidRPr="0030124E">
        <w:rPr>
          <w:b/>
          <w:bCs/>
          <w:lang w:val="ro-RO"/>
        </w:rPr>
        <w:t>)</w:t>
      </w:r>
    </w:p>
    <w:p w14:paraId="0DB5BB5F" w14:textId="75FA92EE" w:rsidR="00DC38C8" w:rsidRPr="0030124E" w:rsidRDefault="000F28B5" w:rsidP="001908D8">
      <w:pPr>
        <w:spacing w:line="360" w:lineRule="auto"/>
        <w:jc w:val="center"/>
        <w:rPr>
          <w:b/>
          <w:bCs/>
          <w:lang w:val="ro-RO"/>
        </w:rPr>
      </w:pPr>
      <w:r>
        <w:rPr>
          <w:b/>
          <w:bCs/>
          <w:noProof/>
          <w:lang w:val="ro-RO"/>
        </w:rPr>
        <w:drawing>
          <wp:inline distT="0" distB="0" distL="0" distR="0" wp14:anchorId="21B5B846" wp14:editId="1A8EBBAC">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2CA373" w14:textId="798B205D" w:rsidR="00DC38C8" w:rsidRDefault="00E60F0A" w:rsidP="00286E7D">
      <w:pPr>
        <w:spacing w:line="360" w:lineRule="auto"/>
        <w:ind w:firstLine="567"/>
        <w:jc w:val="both"/>
        <w:rPr>
          <w:lang w:val="ro-RO"/>
        </w:rPr>
      </w:pPr>
      <w:r w:rsidRPr="0030124E">
        <w:rPr>
          <w:lang w:val="ro-RO"/>
        </w:rPr>
        <w:t xml:space="preserve">În </w:t>
      </w:r>
      <w:r w:rsidR="00830004">
        <w:rPr>
          <w:lang w:val="ro-RO"/>
        </w:rPr>
        <w:t xml:space="preserve">următoarea </w:t>
      </w:r>
      <w:r w:rsidRPr="0030124E">
        <w:rPr>
          <w:lang w:val="ro-RO"/>
        </w:rPr>
        <w:t>parte a analizei, vom trece de la prezentarea descriptivă a rezultatelor sondajului și compararea lor cu datele obiective corespunzătoare la o modelare statistică</w:t>
      </w:r>
      <w:r w:rsidR="003E218B" w:rsidRPr="0030124E">
        <w:rPr>
          <w:lang w:val="ro-RO"/>
        </w:rPr>
        <w:t xml:space="preserve"> (prin intermediul regresiilor liniare)</w:t>
      </w:r>
      <w:r w:rsidRPr="0030124E">
        <w:rPr>
          <w:lang w:val="ro-RO"/>
        </w:rPr>
        <w:t xml:space="preserve">, pentru a putea concluziona dacă evaluările privind consumul de </w:t>
      </w:r>
      <w:r w:rsidRPr="0030124E">
        <w:rPr>
          <w:lang w:val="ro-RO"/>
        </w:rPr>
        <w:lastRenderedPageBreak/>
        <w:t>energie sunt influențate de anumiți factori socio-demografici. Rezultatele trebuie interpretate drept corelații.</w:t>
      </w:r>
      <w:r w:rsidR="00830004">
        <w:rPr>
          <w:lang w:val="ro-RO"/>
        </w:rPr>
        <w:t xml:space="preserve"> Estimările se bazează pe cele două sondaje de opinie (RD12 și RD32) și conțin efecte fixe pentru perioada de culegere a datelor, pentru a lua în calcul momentele diferite în care au avut loc cele două măsurători.</w:t>
      </w:r>
    </w:p>
    <w:p w14:paraId="7EE99B97" w14:textId="6302F0CE" w:rsidR="0001135F" w:rsidRDefault="0001135F" w:rsidP="00286E7D">
      <w:pPr>
        <w:spacing w:line="360" w:lineRule="auto"/>
        <w:ind w:firstLine="567"/>
        <w:jc w:val="both"/>
        <w:rPr>
          <w:lang w:val="ro-RO"/>
        </w:rPr>
      </w:pPr>
    </w:p>
    <w:p w14:paraId="07CD1818" w14:textId="55A001D7" w:rsidR="0001135F" w:rsidRDefault="0001135F" w:rsidP="0001135F">
      <w:pPr>
        <w:spacing w:line="360" w:lineRule="auto"/>
        <w:jc w:val="center"/>
        <w:rPr>
          <w:b/>
          <w:bCs/>
          <w:lang w:val="ro-RO"/>
        </w:rPr>
      </w:pPr>
      <w:r w:rsidRPr="00B24ADD">
        <w:rPr>
          <w:b/>
          <w:bCs/>
          <w:lang w:val="ro-RO"/>
        </w:rPr>
        <w:t xml:space="preserve">Tabelul </w:t>
      </w:r>
      <w:r>
        <w:rPr>
          <w:b/>
          <w:bCs/>
          <w:lang w:val="ro-RO"/>
        </w:rPr>
        <w:t>1</w:t>
      </w:r>
      <w:r w:rsidRPr="00B24ADD">
        <w:rPr>
          <w:b/>
          <w:bCs/>
          <w:lang w:val="ro-RO"/>
        </w:rPr>
        <w:t xml:space="preserve">: Determinanți socio-demografici ai evaluărilor românilor despre </w:t>
      </w:r>
      <w:r>
        <w:rPr>
          <w:b/>
          <w:bCs/>
          <w:lang w:val="ro-RO"/>
        </w:rPr>
        <w:t>energia electrică</w:t>
      </w:r>
      <w:r w:rsidRPr="00B24ADD">
        <w:rPr>
          <w:b/>
          <w:bCs/>
          <w:lang w:val="ro-RO"/>
        </w:rPr>
        <w:t xml:space="preserve"> </w:t>
      </w:r>
      <w:r w:rsidRPr="0030124E">
        <w:rPr>
          <w:b/>
          <w:bCs/>
          <w:lang w:val="ro-RO"/>
        </w:rPr>
        <w:t>(sondaj</w:t>
      </w:r>
      <w:r>
        <w:rPr>
          <w:b/>
          <w:bCs/>
          <w:lang w:val="ro-RO"/>
        </w:rPr>
        <w:t>ele</w:t>
      </w:r>
      <w:r w:rsidRPr="0030124E">
        <w:rPr>
          <w:b/>
          <w:bCs/>
          <w:lang w:val="ro-RO"/>
        </w:rPr>
        <w:t xml:space="preserve"> de opinie RD12</w:t>
      </w:r>
      <w:r>
        <w:rPr>
          <w:b/>
          <w:bCs/>
          <w:lang w:val="ro-RO"/>
        </w:rPr>
        <w:t xml:space="preserve"> și RD32</w:t>
      </w:r>
      <w:r w:rsidRPr="0030124E">
        <w:rPr>
          <w:b/>
          <w:bCs/>
          <w:lang w:val="ro-RO"/>
        </w:rPr>
        <w:t>)</w:t>
      </w:r>
    </w:p>
    <w:p w14:paraId="02DCFFE8" w14:textId="76DD3D4B" w:rsidR="0001135F" w:rsidRPr="00656845" w:rsidRDefault="0001135F" w:rsidP="00656845">
      <w:pPr>
        <w:spacing w:line="360" w:lineRule="auto"/>
        <w:jc w:val="center"/>
        <w:rPr>
          <w:b/>
          <w:bCs/>
          <w:lang w:val="ro-RO"/>
        </w:rPr>
      </w:pPr>
      <w:r>
        <w:rPr>
          <w:b/>
          <w:bCs/>
          <w:noProof/>
          <w:lang w:val="ro-RO"/>
        </w:rPr>
        <w:drawing>
          <wp:inline distT="0" distB="0" distL="0" distR="0" wp14:anchorId="0CF08077" wp14:editId="0EAA65C6">
            <wp:extent cx="4610910" cy="38903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8">
                      <a:extLst>
                        <a:ext uri="{28A0092B-C50C-407E-A947-70E740481C1C}">
                          <a14:useLocalDpi xmlns:a14="http://schemas.microsoft.com/office/drawing/2010/main" val="0"/>
                        </a:ext>
                      </a:extLst>
                    </a:blip>
                    <a:srcRect l="12605" t="7968" r="9796" b="41440"/>
                    <a:stretch/>
                  </pic:blipFill>
                  <pic:spPr bwMode="auto">
                    <a:xfrm>
                      <a:off x="0" y="0"/>
                      <a:ext cx="4612152" cy="3891376"/>
                    </a:xfrm>
                    <a:prstGeom prst="rect">
                      <a:avLst/>
                    </a:prstGeom>
                    <a:ln>
                      <a:noFill/>
                    </a:ln>
                    <a:extLst>
                      <a:ext uri="{53640926-AAD7-44D8-BBD7-CCE9431645EC}">
                        <a14:shadowObscured xmlns:a14="http://schemas.microsoft.com/office/drawing/2010/main"/>
                      </a:ext>
                    </a:extLst>
                  </pic:spPr>
                </pic:pic>
              </a:graphicData>
            </a:graphic>
          </wp:inline>
        </w:drawing>
      </w:r>
    </w:p>
    <w:p w14:paraId="36D4CD7B" w14:textId="4CFE20AA" w:rsidR="0001135F" w:rsidRDefault="0001135F" w:rsidP="0001135F">
      <w:pPr>
        <w:spacing w:line="360" w:lineRule="auto"/>
        <w:ind w:firstLine="567"/>
        <w:jc w:val="both"/>
        <w:rPr>
          <w:lang w:val="ro-RO"/>
        </w:rPr>
      </w:pPr>
      <w:r>
        <w:rPr>
          <w:lang w:val="ro-RO"/>
        </w:rPr>
        <w:lastRenderedPageBreak/>
        <w:t xml:space="preserve">Tabelul 1 se referă la evaluările despre energia electrică și următoarele rezultate ies în evidență: cei sub 40 ani (-1%) sunt mai puțin probabil să fie racordați la rețeaua publică de energie electrică, spre deosebire de cei cu rezidență urbană (2%) - model 1; femeile (3%), cei cu rezidență urbană (10%) și cei din București – Ilfov (6%) sunt mai probabil să </w:t>
      </w:r>
      <w:r w:rsidR="00212291">
        <w:rPr>
          <w:lang w:val="ro-RO"/>
        </w:rPr>
        <w:t xml:space="preserve">fie </w:t>
      </w:r>
      <w:r>
        <w:rPr>
          <w:lang w:val="ro-RO"/>
        </w:rPr>
        <w:t>mulțumiți de furnizarea energiei electrice, spre deosebire de cei cu educație primară (-10%) – model 2; femeile (7%) sunt mai probabil să fie mulțumite de cuantumul facturii la energia electrică, spre deosebire de cei cu familie în străinătate (-8%) – model 3; femeile (5%) sunt mai probabil să fie mulțumite de intervențiile de remediere la rețeaua publică de energie electrică, spre deosebire de cei cu educație primară (-6%) – model 4.</w:t>
      </w:r>
    </w:p>
    <w:p w14:paraId="3C1BB288" w14:textId="0D9CD597" w:rsidR="0001135F" w:rsidRDefault="0001135F" w:rsidP="00286E7D">
      <w:pPr>
        <w:spacing w:line="360" w:lineRule="auto"/>
        <w:ind w:firstLine="567"/>
        <w:jc w:val="both"/>
        <w:rPr>
          <w:lang w:val="ro-RO"/>
        </w:rPr>
      </w:pPr>
    </w:p>
    <w:p w14:paraId="71AC1DEC" w14:textId="7A8D9335" w:rsidR="0001135F" w:rsidRDefault="0001135F" w:rsidP="0001135F">
      <w:pPr>
        <w:spacing w:line="360" w:lineRule="auto"/>
        <w:jc w:val="center"/>
        <w:rPr>
          <w:b/>
          <w:bCs/>
          <w:lang w:val="ro-RO"/>
        </w:rPr>
      </w:pPr>
      <w:r w:rsidRPr="00B24ADD">
        <w:rPr>
          <w:b/>
          <w:bCs/>
          <w:lang w:val="ro-RO"/>
        </w:rPr>
        <w:t xml:space="preserve">Tabelul </w:t>
      </w:r>
      <w:r>
        <w:rPr>
          <w:b/>
          <w:bCs/>
          <w:lang w:val="ro-RO"/>
        </w:rPr>
        <w:t>2</w:t>
      </w:r>
      <w:r w:rsidRPr="00B24ADD">
        <w:rPr>
          <w:b/>
          <w:bCs/>
          <w:lang w:val="ro-RO"/>
        </w:rPr>
        <w:t xml:space="preserve">: Determinanți socio-demografici ai evaluărilor românilor despre </w:t>
      </w:r>
      <w:r>
        <w:rPr>
          <w:b/>
          <w:bCs/>
          <w:lang w:val="ro-RO"/>
        </w:rPr>
        <w:t>gazele naturale</w:t>
      </w:r>
      <w:r w:rsidRPr="00B24ADD">
        <w:rPr>
          <w:b/>
          <w:bCs/>
          <w:lang w:val="ro-RO"/>
        </w:rPr>
        <w:t xml:space="preserve"> </w:t>
      </w:r>
      <w:r w:rsidRPr="0030124E">
        <w:rPr>
          <w:b/>
          <w:bCs/>
          <w:lang w:val="ro-RO"/>
        </w:rPr>
        <w:t>(sondaj</w:t>
      </w:r>
      <w:r>
        <w:rPr>
          <w:b/>
          <w:bCs/>
          <w:lang w:val="ro-RO"/>
        </w:rPr>
        <w:t>ele</w:t>
      </w:r>
      <w:r w:rsidRPr="0030124E">
        <w:rPr>
          <w:b/>
          <w:bCs/>
          <w:lang w:val="ro-RO"/>
        </w:rPr>
        <w:t xml:space="preserve"> de opinie RD12</w:t>
      </w:r>
      <w:r>
        <w:rPr>
          <w:b/>
          <w:bCs/>
          <w:lang w:val="ro-RO"/>
        </w:rPr>
        <w:t xml:space="preserve"> și RD32</w:t>
      </w:r>
      <w:r w:rsidRPr="0030124E">
        <w:rPr>
          <w:b/>
          <w:bCs/>
          <w:lang w:val="ro-RO"/>
        </w:rPr>
        <w:t>)</w:t>
      </w:r>
    </w:p>
    <w:p w14:paraId="24555E01" w14:textId="5CD3F0FD" w:rsidR="000362B1" w:rsidRDefault="000362B1" w:rsidP="0001135F">
      <w:pPr>
        <w:spacing w:line="360" w:lineRule="auto"/>
        <w:jc w:val="center"/>
        <w:rPr>
          <w:b/>
          <w:bCs/>
          <w:lang w:val="ro-RO"/>
        </w:rPr>
      </w:pPr>
      <w:r>
        <w:rPr>
          <w:b/>
          <w:bCs/>
          <w:noProof/>
          <w:lang w:val="ro-RO"/>
        </w:rPr>
        <w:lastRenderedPageBreak/>
        <w:drawing>
          <wp:inline distT="0" distB="0" distL="0" distR="0" wp14:anchorId="49D105BB" wp14:editId="0F8DF8EE">
            <wp:extent cx="4572000" cy="39485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9">
                      <a:extLst>
                        <a:ext uri="{28A0092B-C50C-407E-A947-70E740481C1C}">
                          <a14:useLocalDpi xmlns:a14="http://schemas.microsoft.com/office/drawing/2010/main" val="0"/>
                        </a:ext>
                      </a:extLst>
                    </a:blip>
                    <a:srcRect l="13095" t="23523" r="9960" b="25127"/>
                    <a:stretch/>
                  </pic:blipFill>
                  <pic:spPr bwMode="auto">
                    <a:xfrm>
                      <a:off x="0" y="0"/>
                      <a:ext cx="4573277" cy="3949701"/>
                    </a:xfrm>
                    <a:prstGeom prst="rect">
                      <a:avLst/>
                    </a:prstGeom>
                    <a:ln>
                      <a:noFill/>
                    </a:ln>
                    <a:extLst>
                      <a:ext uri="{53640926-AAD7-44D8-BBD7-CCE9431645EC}">
                        <a14:shadowObscured xmlns:a14="http://schemas.microsoft.com/office/drawing/2010/main"/>
                      </a:ext>
                    </a:extLst>
                  </pic:spPr>
                </pic:pic>
              </a:graphicData>
            </a:graphic>
          </wp:inline>
        </w:drawing>
      </w:r>
    </w:p>
    <w:p w14:paraId="6F3F1D5E" w14:textId="006B79D7" w:rsidR="006C1916" w:rsidRPr="0030124E" w:rsidRDefault="0067730F" w:rsidP="00656845">
      <w:pPr>
        <w:spacing w:line="360" w:lineRule="auto"/>
        <w:ind w:firstLine="567"/>
        <w:jc w:val="both"/>
        <w:rPr>
          <w:lang w:val="ro-RO"/>
        </w:rPr>
      </w:pPr>
      <w:r w:rsidRPr="0030124E">
        <w:rPr>
          <w:lang w:val="ro-RO"/>
        </w:rPr>
        <w:t>În Tabelul 2, urmăm aceeași strategie, doar că ne concentrăm asupra evaluărilor despre gazele naturale.</w:t>
      </w:r>
      <w:r w:rsidR="00505B26" w:rsidRPr="0030124E">
        <w:rPr>
          <w:lang w:val="ro-RO"/>
        </w:rPr>
        <w:t xml:space="preserve"> </w:t>
      </w:r>
      <w:r w:rsidR="000362B1">
        <w:rPr>
          <w:lang w:val="ro-RO"/>
        </w:rPr>
        <w:t xml:space="preserve">Următoarele aspecte ies în evidență: femeile (7%), cei cu educație superioară (17%), angajații (5%), cei cu rezidență urbană (45%) și cei din București – Ilfov (21%) sunt mai probabil să fie racordați la rețeaua publică de furnizare a gazelor naturale, spre deosebire de cei sub 40 ani (-11%), cei cu educație primară (-16%) și cei cu familie în străinătate (-5%) – model 1; femeile (8%), cei cu educație superioară (14%), cei cu rezidență urbană (44%) și cei din București – Ilfov (22%) sunt mai probabil să fie mulțumiți de furnizarea gazelor naturale, spre deosebire de cei sub 40 ani (-12%), de cei cu educație primară (-18%) și de cei cu familii în străinătate (-6%) – </w:t>
      </w:r>
      <w:r w:rsidR="000362B1">
        <w:rPr>
          <w:lang w:val="ro-RO"/>
        </w:rPr>
        <w:lastRenderedPageBreak/>
        <w:t>model 2; femeile (8%), angajații (5%) și cei din București – Ilfov (23%) sunt mai probabil să fie mulțumiți de cuantumul facturii la gaze naturale, spre deosebire de cei sub 40 ani (-7%) și cei cu educație primară (-9%) – model 3; femeile (7%), cei cu educație superioară (12%), angajații (8%), cei cu rezidență urbană (38%) și cei din București – Ilfov (17%) sunt mai probabil să fie mulțumiți de intervențiile la sistemul de furnizare a gazelor naturale, spre deosebire de cei sub 40 ani (-15%) și cei cu educație primară (-13%) – model 4; femeile (5%), cei cu educație superioară (11%), angajații (5%), cei cu rezidență urbană (40%) și cei din București – Ilfov (20%) sunt mai probabil să fie mulțumiți de presiunea gazelor naturale din rețeaua publică, spre deosebire de cei sub 40 ani (-9%), de cei cu educație primară (-16%) și de cei cu membri ai familiei în străinătate – model 5.</w:t>
      </w:r>
    </w:p>
    <w:p w14:paraId="0A3BCCD3" w14:textId="6F7F137F" w:rsidR="00D823F9" w:rsidRDefault="00D823F9" w:rsidP="005449D3">
      <w:pPr>
        <w:spacing w:line="360" w:lineRule="auto"/>
        <w:ind w:firstLine="567"/>
        <w:jc w:val="center"/>
        <w:rPr>
          <w:b/>
          <w:bCs/>
          <w:lang w:val="ro-RO"/>
        </w:rPr>
      </w:pPr>
      <w:r w:rsidRPr="0030124E">
        <w:rPr>
          <w:b/>
          <w:bCs/>
          <w:lang w:val="ro-RO"/>
        </w:rPr>
        <w:t>Tabel 3</w:t>
      </w:r>
      <w:r w:rsidR="000362B1">
        <w:rPr>
          <w:b/>
          <w:bCs/>
          <w:lang w:val="ro-RO"/>
        </w:rPr>
        <w:t xml:space="preserve">: </w:t>
      </w:r>
      <w:r w:rsidR="000362B1" w:rsidRPr="00B24ADD">
        <w:rPr>
          <w:b/>
          <w:bCs/>
          <w:lang w:val="ro-RO"/>
        </w:rPr>
        <w:t xml:space="preserve">Determinanți socio-demografici ai evaluărilor românilor despre </w:t>
      </w:r>
      <w:r w:rsidR="000362B1">
        <w:rPr>
          <w:b/>
          <w:bCs/>
          <w:lang w:val="ro-RO"/>
        </w:rPr>
        <w:t>încălzire</w:t>
      </w:r>
      <w:r w:rsidR="000362B1" w:rsidRPr="00B24ADD">
        <w:rPr>
          <w:b/>
          <w:bCs/>
          <w:lang w:val="ro-RO"/>
        </w:rPr>
        <w:t xml:space="preserve"> </w:t>
      </w:r>
      <w:r w:rsidR="000362B1" w:rsidRPr="0030124E">
        <w:rPr>
          <w:b/>
          <w:bCs/>
          <w:lang w:val="ro-RO"/>
        </w:rPr>
        <w:t>(sondaj</w:t>
      </w:r>
      <w:r w:rsidR="000362B1">
        <w:rPr>
          <w:b/>
          <w:bCs/>
          <w:lang w:val="ro-RO"/>
        </w:rPr>
        <w:t>ele</w:t>
      </w:r>
      <w:r w:rsidR="000362B1" w:rsidRPr="0030124E">
        <w:rPr>
          <w:b/>
          <w:bCs/>
          <w:lang w:val="ro-RO"/>
        </w:rPr>
        <w:t xml:space="preserve"> de opinie RD12</w:t>
      </w:r>
      <w:r w:rsidR="000362B1">
        <w:rPr>
          <w:b/>
          <w:bCs/>
          <w:lang w:val="ro-RO"/>
        </w:rPr>
        <w:t xml:space="preserve"> și RD32</w:t>
      </w:r>
      <w:r w:rsidR="000362B1" w:rsidRPr="0030124E">
        <w:rPr>
          <w:b/>
          <w:bCs/>
          <w:lang w:val="ro-RO"/>
        </w:rPr>
        <w:t>)</w:t>
      </w:r>
    </w:p>
    <w:p w14:paraId="08A21E27" w14:textId="7FA9B14C" w:rsidR="0096446D" w:rsidRPr="0030124E" w:rsidRDefault="000362B1" w:rsidP="00EA23E2">
      <w:pPr>
        <w:spacing w:line="360" w:lineRule="auto"/>
        <w:ind w:firstLine="567"/>
        <w:jc w:val="center"/>
        <w:rPr>
          <w:lang w:val="ro-RO"/>
        </w:rPr>
      </w:pPr>
      <w:r>
        <w:rPr>
          <w:b/>
          <w:bCs/>
          <w:noProof/>
          <w:lang w:val="ro-RO"/>
        </w:rPr>
        <w:lastRenderedPageBreak/>
        <w:drawing>
          <wp:inline distT="0" distB="0" distL="0" distR="0" wp14:anchorId="23D51BDC" wp14:editId="6A550FA6">
            <wp:extent cx="4620638" cy="38026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0">
                      <a:extLst>
                        <a:ext uri="{28A0092B-C50C-407E-A947-70E740481C1C}">
                          <a14:useLocalDpi xmlns:a14="http://schemas.microsoft.com/office/drawing/2010/main" val="0"/>
                        </a:ext>
                      </a:extLst>
                    </a:blip>
                    <a:srcRect l="12604" t="24408" r="9633" b="26140"/>
                    <a:stretch/>
                  </pic:blipFill>
                  <pic:spPr bwMode="auto">
                    <a:xfrm>
                      <a:off x="0" y="0"/>
                      <a:ext cx="4621891" cy="3803683"/>
                    </a:xfrm>
                    <a:prstGeom prst="rect">
                      <a:avLst/>
                    </a:prstGeom>
                    <a:ln>
                      <a:noFill/>
                    </a:ln>
                    <a:extLst>
                      <a:ext uri="{53640926-AAD7-44D8-BBD7-CCE9431645EC}">
                        <a14:shadowObscured xmlns:a14="http://schemas.microsoft.com/office/drawing/2010/main"/>
                      </a:ext>
                    </a:extLst>
                  </pic:spPr>
                </pic:pic>
              </a:graphicData>
            </a:graphic>
          </wp:inline>
        </w:drawing>
      </w:r>
    </w:p>
    <w:p w14:paraId="3F2A749A" w14:textId="4826D13F" w:rsidR="000362B1" w:rsidRDefault="00BE51B6" w:rsidP="009C0155">
      <w:pPr>
        <w:spacing w:line="360" w:lineRule="auto"/>
        <w:ind w:firstLine="567"/>
        <w:jc w:val="both"/>
        <w:rPr>
          <w:lang w:val="ro-RO"/>
        </w:rPr>
      </w:pPr>
      <w:r w:rsidRPr="0030124E">
        <w:rPr>
          <w:lang w:val="ro-RO"/>
        </w:rPr>
        <w:t xml:space="preserve">În Tabelul 3 ne concentrăm </w:t>
      </w:r>
      <w:r w:rsidR="000362B1">
        <w:rPr>
          <w:lang w:val="ro-RO"/>
        </w:rPr>
        <w:t>pe explicarea unor aspecte legate de încălzire. Femeile (5%), cei cu rezidență urbană (11%) și cei din București – Ilfov (27%) sunt mai probabil să fie racordați la sistemul public centralizat de încălzire, spre deosebire de cei cu educație primară (-6%) și cei cu familie în străinătate (-5%) – model 1. Cei sub 40 ani (10%), cei cu educație primară (28%) și cei cu familie în străinătate (4%) sunt mai probabil să se încălzească de la soba cu lemne, spre deosebire de cei cu educație superioară (-15%), de cei cu rezidență urbană (43%) și de cei cu rezidență în București – Ilfov (8%).</w:t>
      </w:r>
    </w:p>
    <w:p w14:paraId="29737933" w14:textId="77777777" w:rsidR="000362B1" w:rsidRDefault="000362B1" w:rsidP="009C0155">
      <w:pPr>
        <w:spacing w:line="360" w:lineRule="auto"/>
        <w:ind w:firstLine="567"/>
        <w:jc w:val="both"/>
        <w:rPr>
          <w:lang w:val="ro-RO"/>
        </w:rPr>
      </w:pPr>
    </w:p>
    <w:p w14:paraId="0E249839" w14:textId="53174CE2" w:rsidR="00D823F9" w:rsidRPr="0030124E" w:rsidRDefault="00EA23E2" w:rsidP="005449D3">
      <w:pPr>
        <w:spacing w:line="360" w:lineRule="auto"/>
        <w:ind w:firstLine="567"/>
        <w:jc w:val="center"/>
        <w:rPr>
          <w:b/>
          <w:bCs/>
          <w:lang w:val="ro-RO"/>
        </w:rPr>
      </w:pPr>
      <w:r w:rsidRPr="0030124E">
        <w:rPr>
          <w:b/>
          <w:bCs/>
          <w:lang w:val="ro-RO"/>
        </w:rPr>
        <w:lastRenderedPageBreak/>
        <w:t xml:space="preserve">Tabel </w:t>
      </w:r>
      <w:r>
        <w:rPr>
          <w:b/>
          <w:bCs/>
          <w:lang w:val="ro-RO"/>
        </w:rPr>
        <w:t xml:space="preserve">4: </w:t>
      </w:r>
      <w:r w:rsidRPr="00B24ADD">
        <w:rPr>
          <w:b/>
          <w:bCs/>
          <w:lang w:val="ro-RO"/>
        </w:rPr>
        <w:t xml:space="preserve">Determinanți socio-demografici ai evaluărilor românilor </w:t>
      </w:r>
      <w:r w:rsidR="00D823F9" w:rsidRPr="0030124E">
        <w:rPr>
          <w:b/>
          <w:bCs/>
          <w:lang w:val="ro-RO"/>
        </w:rPr>
        <w:t xml:space="preserve">privind comportamentul de consum al energiei, dotări și costuri </w:t>
      </w:r>
      <w:r w:rsidRPr="0030124E">
        <w:rPr>
          <w:b/>
          <w:bCs/>
          <w:lang w:val="ro-RO"/>
        </w:rPr>
        <w:t>(sondaj</w:t>
      </w:r>
      <w:r>
        <w:rPr>
          <w:b/>
          <w:bCs/>
          <w:lang w:val="ro-RO"/>
        </w:rPr>
        <w:t>ele</w:t>
      </w:r>
      <w:r w:rsidRPr="0030124E">
        <w:rPr>
          <w:b/>
          <w:bCs/>
          <w:lang w:val="ro-RO"/>
        </w:rPr>
        <w:t xml:space="preserve"> de opinie RD12</w:t>
      </w:r>
      <w:r>
        <w:rPr>
          <w:b/>
          <w:bCs/>
          <w:lang w:val="ro-RO"/>
        </w:rPr>
        <w:t xml:space="preserve"> și RD32</w:t>
      </w:r>
      <w:r w:rsidRPr="0030124E">
        <w:rPr>
          <w:b/>
          <w:bCs/>
          <w:lang w:val="ro-RO"/>
        </w:rPr>
        <w:t>)</w:t>
      </w:r>
    </w:p>
    <w:p w14:paraId="50B5D74D" w14:textId="051EC22D" w:rsidR="00EA23E2" w:rsidRPr="0030124E" w:rsidRDefault="00EA23E2" w:rsidP="00EA23E2">
      <w:pPr>
        <w:spacing w:line="360" w:lineRule="auto"/>
        <w:jc w:val="center"/>
        <w:rPr>
          <w:b/>
          <w:bCs/>
          <w:lang w:val="ro-RO"/>
        </w:rPr>
      </w:pPr>
      <w:r>
        <w:rPr>
          <w:b/>
          <w:bCs/>
          <w:noProof/>
          <w:lang w:val="ro-RO"/>
        </w:rPr>
        <w:drawing>
          <wp:inline distT="0" distB="0" distL="0" distR="0" wp14:anchorId="4C4C6283" wp14:editId="53EE9CAC">
            <wp:extent cx="4805464" cy="30147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1">
                      <a:extLst>
                        <a:ext uri="{28A0092B-C50C-407E-A947-70E740481C1C}">
                          <a14:useLocalDpi xmlns:a14="http://schemas.microsoft.com/office/drawing/2010/main" val="0"/>
                        </a:ext>
                      </a:extLst>
                    </a:blip>
                    <a:srcRect l="9822" t="29593" r="9301" b="31200"/>
                    <a:stretch/>
                  </pic:blipFill>
                  <pic:spPr bwMode="auto">
                    <a:xfrm>
                      <a:off x="0" y="0"/>
                      <a:ext cx="4806965" cy="3015687"/>
                    </a:xfrm>
                    <a:prstGeom prst="rect">
                      <a:avLst/>
                    </a:prstGeom>
                    <a:ln>
                      <a:noFill/>
                    </a:ln>
                    <a:extLst>
                      <a:ext uri="{53640926-AAD7-44D8-BBD7-CCE9431645EC}">
                        <a14:shadowObscured xmlns:a14="http://schemas.microsoft.com/office/drawing/2010/main"/>
                      </a:ext>
                    </a:extLst>
                  </pic:spPr>
                </pic:pic>
              </a:graphicData>
            </a:graphic>
          </wp:inline>
        </w:drawing>
      </w:r>
    </w:p>
    <w:p w14:paraId="7E00DE3D" w14:textId="6632B537" w:rsidR="00EA23E2" w:rsidRDefault="00BA0F2D" w:rsidP="00286E7D">
      <w:pPr>
        <w:spacing w:line="360" w:lineRule="auto"/>
        <w:ind w:firstLine="567"/>
        <w:jc w:val="both"/>
        <w:rPr>
          <w:lang w:val="ro-RO"/>
        </w:rPr>
      </w:pPr>
      <w:r w:rsidRPr="0030124E">
        <w:rPr>
          <w:lang w:val="ro-RO"/>
        </w:rPr>
        <w:t xml:space="preserve">Încheiem cu evaluările legate de dotări, comportamente și costuri </w:t>
      </w:r>
      <w:r w:rsidR="00CC20DD" w:rsidRPr="0030124E">
        <w:rPr>
          <w:lang w:val="ro-RO"/>
        </w:rPr>
        <w:t>privind</w:t>
      </w:r>
      <w:r w:rsidRPr="0030124E">
        <w:rPr>
          <w:lang w:val="ro-RO"/>
        </w:rPr>
        <w:t xml:space="preserve"> consumul de energie.</w:t>
      </w:r>
      <w:r w:rsidR="002E5DFB" w:rsidRPr="0030124E">
        <w:rPr>
          <w:lang w:val="ro-RO"/>
        </w:rPr>
        <w:t xml:space="preserve"> Aici, ne vom axa pe cele mai relevante rezultate</w:t>
      </w:r>
      <w:r w:rsidR="00EA23E2">
        <w:rPr>
          <w:lang w:val="ro-RO"/>
        </w:rPr>
        <w:t>. Femeile sunt mai puțin</w:t>
      </w:r>
      <w:r w:rsidR="00212291">
        <w:rPr>
          <w:lang w:val="ro-RO"/>
        </w:rPr>
        <w:t xml:space="preserve"> probabil</w:t>
      </w:r>
      <w:r w:rsidR="00EA23E2">
        <w:rPr>
          <w:lang w:val="ro-RO"/>
        </w:rPr>
        <w:t xml:space="preserve"> (-7%) să aibă locuința termoizolată (model 1), mai puțin probabil (-5%) să aibă locuință cu aer condiționat (model 3), mai probabil să spună că sunt mari cheltuielile cu energia (model 9) și cu 17% mai puțin probabil să spună că sursa preferată de energie este cea regenerabilă (model 10). Cei sub 40 ani mai puțin probabil (-5%) să spună că sunt mari costurile cu energia (model 9) și cu 15% mai probabil să prefere energia regenerabilă (model 10). Cei cu educație primară sunt cu 9% mai probabil să acuze costurile mari cu energia</w:t>
      </w:r>
      <w:r w:rsidR="00212291">
        <w:rPr>
          <w:lang w:val="ro-RO"/>
        </w:rPr>
        <w:t xml:space="preserve"> ca parte a bugetului personal</w:t>
      </w:r>
      <w:r w:rsidR="00EA23E2">
        <w:rPr>
          <w:lang w:val="ro-RO"/>
        </w:rPr>
        <w:t xml:space="preserve"> (model 9) și cu 24% </w:t>
      </w:r>
      <w:r w:rsidR="00EA23E2">
        <w:rPr>
          <w:lang w:val="ro-RO"/>
        </w:rPr>
        <w:lastRenderedPageBreak/>
        <w:t>mai puțin probabil să prefere energia regenerabilă (model 10). Cei cu educație superioară sunt cu 25% mai probabil să prefere energia regenerabilă (model 10).</w:t>
      </w:r>
    </w:p>
    <w:p w14:paraId="7963CF8D" w14:textId="460064B1" w:rsidR="00EA23E2" w:rsidRDefault="00EA23E2" w:rsidP="00286E7D">
      <w:pPr>
        <w:spacing w:line="360" w:lineRule="auto"/>
        <w:ind w:firstLine="567"/>
        <w:jc w:val="both"/>
        <w:rPr>
          <w:lang w:val="ro-RO"/>
        </w:rPr>
      </w:pPr>
    </w:p>
    <w:p w14:paraId="5379C62E" w14:textId="1C2F88AD" w:rsidR="00EA23E2" w:rsidRDefault="00EA23E2" w:rsidP="00EA23E2">
      <w:pPr>
        <w:spacing w:line="360" w:lineRule="auto"/>
        <w:jc w:val="center"/>
        <w:rPr>
          <w:b/>
          <w:bCs/>
          <w:lang w:val="ro-RO"/>
        </w:rPr>
      </w:pPr>
      <w:r w:rsidRPr="00B24ADD">
        <w:rPr>
          <w:b/>
          <w:bCs/>
          <w:lang w:val="ro-RO"/>
        </w:rPr>
        <w:t>Figura 1</w:t>
      </w:r>
      <w:r>
        <w:rPr>
          <w:b/>
          <w:bCs/>
          <w:lang w:val="ro-RO"/>
        </w:rPr>
        <w:t>2</w:t>
      </w:r>
      <w:r w:rsidRPr="00B24ADD">
        <w:rPr>
          <w:b/>
          <w:bCs/>
          <w:lang w:val="ro-RO"/>
        </w:rPr>
        <w:t xml:space="preserve">: Impactul evaluărilor privind </w:t>
      </w:r>
      <w:r>
        <w:rPr>
          <w:b/>
          <w:bCs/>
          <w:lang w:val="ro-RO"/>
        </w:rPr>
        <w:t xml:space="preserve">energia </w:t>
      </w:r>
      <w:r w:rsidRPr="00B24ADD">
        <w:rPr>
          <w:b/>
          <w:bCs/>
          <w:lang w:val="ro-RO"/>
        </w:rPr>
        <w:t>asupra evaluării privind direcția în care se îndreaptă România (sondajele de opinie RD0</w:t>
      </w:r>
      <w:r>
        <w:rPr>
          <w:b/>
          <w:bCs/>
          <w:lang w:val="ro-RO"/>
        </w:rPr>
        <w:t>12</w:t>
      </w:r>
      <w:r w:rsidR="00212291">
        <w:rPr>
          <w:b/>
          <w:bCs/>
          <w:lang w:val="ro-RO"/>
        </w:rPr>
        <w:t xml:space="preserve"> </w:t>
      </w:r>
      <w:r w:rsidRPr="00B24ADD">
        <w:rPr>
          <w:b/>
          <w:bCs/>
          <w:lang w:val="ro-RO"/>
        </w:rPr>
        <w:t>și RD3</w:t>
      </w:r>
      <w:r>
        <w:rPr>
          <w:b/>
          <w:bCs/>
          <w:lang w:val="ro-RO"/>
        </w:rPr>
        <w:t>2</w:t>
      </w:r>
      <w:r w:rsidRPr="00B24ADD">
        <w:rPr>
          <w:b/>
          <w:bCs/>
          <w:lang w:val="ro-RO"/>
        </w:rPr>
        <w:t>)</w:t>
      </w:r>
    </w:p>
    <w:p w14:paraId="0840D2A2" w14:textId="2983E1DE" w:rsidR="00EA23E2" w:rsidRDefault="00EA23E2" w:rsidP="00EA23E2">
      <w:pPr>
        <w:spacing w:line="360" w:lineRule="auto"/>
        <w:jc w:val="center"/>
        <w:rPr>
          <w:b/>
          <w:bCs/>
          <w:lang w:val="ro-RO"/>
        </w:rPr>
      </w:pPr>
      <w:r>
        <w:rPr>
          <w:b/>
          <w:bCs/>
          <w:noProof/>
          <w:lang w:val="ro-RO"/>
        </w:rPr>
        <w:lastRenderedPageBreak/>
        <w:drawing>
          <wp:inline distT="0" distB="0" distL="0" distR="0" wp14:anchorId="437CBE6A" wp14:editId="36721CCB">
            <wp:extent cx="5019473" cy="7529209"/>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023266" cy="7534899"/>
                    </a:xfrm>
                    <a:prstGeom prst="rect">
                      <a:avLst/>
                    </a:prstGeom>
                  </pic:spPr>
                </pic:pic>
              </a:graphicData>
            </a:graphic>
          </wp:inline>
        </w:drawing>
      </w:r>
    </w:p>
    <w:p w14:paraId="5AEA8188" w14:textId="7F0082D1" w:rsidR="00EA23E2" w:rsidRDefault="00EA23E2" w:rsidP="00EA23E2">
      <w:pPr>
        <w:spacing w:line="360" w:lineRule="auto"/>
        <w:ind w:firstLine="567"/>
        <w:jc w:val="both"/>
        <w:rPr>
          <w:lang w:val="ro-RO"/>
        </w:rPr>
      </w:pPr>
      <w:r>
        <w:rPr>
          <w:lang w:val="ro-RO"/>
        </w:rPr>
        <w:lastRenderedPageBreak/>
        <w:t xml:space="preserve">Ultima parte a analizei investighează dacă evaluările despre energie se corelează cu evaluarea mai generală despre mersul lucrurilor în România. </w:t>
      </w:r>
      <w:r w:rsidRPr="00B24ADD">
        <w:rPr>
          <w:lang w:val="ro-RO"/>
        </w:rPr>
        <w:t>Rezultatele sunt prezentate în Figur</w:t>
      </w:r>
      <w:r>
        <w:rPr>
          <w:lang w:val="ro-RO"/>
        </w:rPr>
        <w:t>a</w:t>
      </w:r>
      <w:r w:rsidRPr="00B24ADD">
        <w:rPr>
          <w:lang w:val="ro-RO"/>
        </w:rPr>
        <w:t xml:space="preserve"> </w:t>
      </w:r>
      <w:r>
        <w:rPr>
          <w:lang w:val="ro-RO"/>
        </w:rPr>
        <w:t>12</w:t>
      </w:r>
      <w:r w:rsidRPr="00B24ADD">
        <w:rPr>
          <w:lang w:val="ro-RO"/>
        </w:rPr>
        <w:t>, în care fiecare coeficient este rezultatul unei estimări și în care factorii socio-demografici din Tabel</w:t>
      </w:r>
      <w:r>
        <w:rPr>
          <w:lang w:val="ro-RO"/>
        </w:rPr>
        <w:t>e</w:t>
      </w:r>
      <w:r w:rsidRPr="00B24ADD">
        <w:rPr>
          <w:lang w:val="ro-RO"/>
        </w:rPr>
        <w:t>l</w:t>
      </w:r>
      <w:r>
        <w:rPr>
          <w:lang w:val="ro-RO"/>
        </w:rPr>
        <w:t>e</w:t>
      </w:r>
      <w:r w:rsidRPr="00B24ADD">
        <w:rPr>
          <w:lang w:val="ro-RO"/>
        </w:rPr>
        <w:t xml:space="preserve"> 1</w:t>
      </w:r>
      <w:r>
        <w:rPr>
          <w:lang w:val="ro-RO"/>
        </w:rPr>
        <w:t xml:space="preserve"> – 4 </w:t>
      </w:r>
      <w:r w:rsidRPr="00B24ADD">
        <w:rPr>
          <w:lang w:val="ro-RO"/>
        </w:rPr>
        <w:t>sunt menținuți constanți. Estimările conțin de asemenea efecte fixe pentru a lua în calcul perioada de culegere a datelor, având în vedere că ne raportăm la datele din sondajele de opinie RD</w:t>
      </w:r>
      <w:r>
        <w:rPr>
          <w:lang w:val="ro-RO"/>
        </w:rPr>
        <w:t>12</w:t>
      </w:r>
      <w:r w:rsidRPr="00B24ADD">
        <w:rPr>
          <w:lang w:val="ro-RO"/>
        </w:rPr>
        <w:t xml:space="preserve"> și RD3</w:t>
      </w:r>
      <w:r>
        <w:rPr>
          <w:lang w:val="ro-RO"/>
        </w:rPr>
        <w:t>2</w:t>
      </w:r>
      <w:r w:rsidRPr="00B24ADD">
        <w:rPr>
          <w:lang w:val="ro-RO"/>
        </w:rPr>
        <w:t>.</w:t>
      </w:r>
      <w:r>
        <w:rPr>
          <w:lang w:val="ro-RO"/>
        </w:rPr>
        <w:t xml:space="preserve"> Așa cum se poate observa, cei care au locuința certificată energetic, cei care sunt mulțumiți de intervențiile la rețeaua de gaze naturale și de cuantumul facturii la gaze naturale și cei care preferă energia regenerabilă sunt mai probabil să afirme că țara merge într-o direcție bună.</w:t>
      </w:r>
    </w:p>
    <w:p w14:paraId="5D891E22" w14:textId="7055E66D" w:rsidR="00960C4F" w:rsidRPr="0030124E" w:rsidRDefault="00960C4F" w:rsidP="00EA23E2">
      <w:pPr>
        <w:spacing w:line="360" w:lineRule="auto"/>
        <w:jc w:val="both"/>
        <w:rPr>
          <w:lang w:val="ro-RO"/>
        </w:rPr>
      </w:pPr>
    </w:p>
    <w:p w14:paraId="0F5D80F6" w14:textId="77777777" w:rsidR="00EA23E2" w:rsidRPr="00B24ADD" w:rsidRDefault="00EA23E2" w:rsidP="00EA23E2">
      <w:pPr>
        <w:spacing w:line="360" w:lineRule="auto"/>
        <w:ind w:firstLine="567"/>
        <w:jc w:val="both"/>
        <w:rPr>
          <w:b/>
          <w:bCs/>
          <w:lang w:val="ro-RO"/>
        </w:rPr>
      </w:pPr>
      <w:r w:rsidRPr="00B24ADD">
        <w:rPr>
          <w:b/>
          <w:bCs/>
          <w:lang w:val="ro-RO"/>
        </w:rPr>
        <w:t>Scurte concluzii</w:t>
      </w:r>
    </w:p>
    <w:p w14:paraId="4E13E618" w14:textId="3D129A29" w:rsidR="00EA23E2" w:rsidRDefault="00EA23E2" w:rsidP="00EA23E2">
      <w:pPr>
        <w:spacing w:line="360" w:lineRule="auto"/>
        <w:ind w:firstLine="567"/>
        <w:jc w:val="both"/>
        <w:rPr>
          <w:b/>
          <w:bCs/>
          <w:lang w:val="ro-RO"/>
        </w:rPr>
      </w:pPr>
      <w:r w:rsidRPr="00B24ADD">
        <w:rPr>
          <w:lang w:val="ro-RO"/>
        </w:rPr>
        <w:t>În urma analizei, distingem câteva concluzii. Din perspectivă obiectivă, observăm următoarele aspecte notabile:</w:t>
      </w:r>
      <w:r>
        <w:rPr>
          <w:lang w:val="ro-RO"/>
        </w:rPr>
        <w:t xml:space="preserve"> </w:t>
      </w:r>
      <w:r w:rsidRPr="00EA23E2">
        <w:rPr>
          <w:lang w:val="ro-RO"/>
        </w:rPr>
        <w:t>1) De la 33,3% din populație care în 2007 nu-și putea</w:t>
      </w:r>
      <w:r>
        <w:rPr>
          <w:lang w:val="ro-RO"/>
        </w:rPr>
        <w:t xml:space="preserve"> </w:t>
      </w:r>
      <w:r w:rsidRPr="00EA23E2">
        <w:rPr>
          <w:lang w:val="ro-RO"/>
        </w:rPr>
        <w:t>încălzi locuința în mod adecvat s-a ajuns, în 2021, la 10,1% - o scădere consistentă pentru România,</w:t>
      </w:r>
      <w:r>
        <w:rPr>
          <w:lang w:val="ro-RO"/>
        </w:rPr>
        <w:t xml:space="preserve"> </w:t>
      </w:r>
      <w:r w:rsidRPr="00EA23E2">
        <w:rPr>
          <w:lang w:val="ro-RO"/>
        </w:rPr>
        <w:t>de 23,2% puncte procentuale;  2) România este într-o situație comparativ mai bună decât</w:t>
      </w:r>
      <w:r>
        <w:rPr>
          <w:lang w:val="ro-RO"/>
        </w:rPr>
        <w:t xml:space="preserve"> </w:t>
      </w:r>
      <w:r w:rsidRPr="00EA23E2">
        <w:rPr>
          <w:lang w:val="ro-RO"/>
        </w:rPr>
        <w:t>alte state europene în ceea ce privește ponder</w:t>
      </w:r>
      <w:r w:rsidR="00212291">
        <w:rPr>
          <w:lang w:val="ro-RO"/>
        </w:rPr>
        <w:t>ea</w:t>
      </w:r>
      <w:r w:rsidRPr="00EA23E2">
        <w:rPr>
          <w:lang w:val="ro-RO"/>
        </w:rPr>
        <w:t xml:space="preserve"> energiei regenerabile în consumul</w:t>
      </w:r>
      <w:r>
        <w:rPr>
          <w:lang w:val="ro-RO"/>
        </w:rPr>
        <w:t xml:space="preserve"> </w:t>
      </w:r>
      <w:r w:rsidRPr="00EA23E2">
        <w:rPr>
          <w:lang w:val="ro-RO"/>
        </w:rPr>
        <w:t>final brut de energie. În 2004, 16,8% din consumul brut final de energie</w:t>
      </w:r>
      <w:r>
        <w:rPr>
          <w:lang w:val="ro-RO"/>
        </w:rPr>
        <w:t xml:space="preserve"> </w:t>
      </w:r>
      <w:r w:rsidRPr="00EA23E2">
        <w:rPr>
          <w:lang w:val="ro-RO"/>
        </w:rPr>
        <w:t>provenea din surse regenerabile; în 2020, ponderea crescuse la 24,5%; 3) Ca trend general, observăm scăderea clară a energiei termice</w:t>
      </w:r>
      <w:r>
        <w:rPr>
          <w:lang w:val="ro-RO"/>
        </w:rPr>
        <w:t xml:space="preserve"> </w:t>
      </w:r>
      <w:r w:rsidRPr="00EA23E2">
        <w:rPr>
          <w:lang w:val="ro-RO"/>
        </w:rPr>
        <w:t>distribuite pentru uz casnic în sistemul public în perioada 1993 – 2020. La nivel național, cantitatea a scăzut de la 2813,3</w:t>
      </w:r>
      <w:r w:rsidR="00141F58">
        <w:rPr>
          <w:lang w:val="ro-RO"/>
        </w:rPr>
        <w:t xml:space="preserve"> </w:t>
      </w:r>
      <w:r w:rsidRPr="00EA23E2">
        <w:rPr>
          <w:lang w:val="ro-RO"/>
        </w:rPr>
        <w:t>zeci de mii Gcal în 1993 la 603,4 zeci de mii de Gcal în 2020; 4) La nivel național, România avea</w:t>
      </w:r>
      <w:r w:rsidR="00141F58">
        <w:rPr>
          <w:lang w:val="ro-RO"/>
        </w:rPr>
        <w:t>,</w:t>
      </w:r>
      <w:r w:rsidRPr="00EA23E2">
        <w:rPr>
          <w:lang w:val="ro-RO"/>
        </w:rPr>
        <w:t xml:space="preserve"> în 1990</w:t>
      </w:r>
      <w:r w:rsidR="00141F58">
        <w:rPr>
          <w:lang w:val="ro-RO"/>
        </w:rPr>
        <w:t>,</w:t>
      </w:r>
      <w:r w:rsidRPr="00EA23E2">
        <w:rPr>
          <w:lang w:val="ro-RO"/>
        </w:rPr>
        <w:t xml:space="preserve"> 10770,6 km de</w:t>
      </w:r>
      <w:r>
        <w:rPr>
          <w:lang w:val="ro-RO"/>
        </w:rPr>
        <w:t xml:space="preserve"> </w:t>
      </w:r>
      <w:r w:rsidRPr="00EA23E2">
        <w:rPr>
          <w:lang w:val="ro-RO"/>
        </w:rPr>
        <w:t>conducte de distribuție a gazelor naturale. În 2020, această lungime a crescut</w:t>
      </w:r>
      <w:r>
        <w:rPr>
          <w:lang w:val="ro-RO"/>
        </w:rPr>
        <w:t xml:space="preserve"> </w:t>
      </w:r>
      <w:r w:rsidRPr="00EA23E2">
        <w:rPr>
          <w:lang w:val="ro-RO"/>
        </w:rPr>
        <w:t xml:space="preserve">la 43563,4 km, ceea ce reprezintă o creștere procentuală de </w:t>
      </w:r>
      <w:r w:rsidRPr="00EA23E2">
        <w:rPr>
          <w:lang w:val="ro-RO"/>
        </w:rPr>
        <w:lastRenderedPageBreak/>
        <w:t>304,5%; 5) La nivel național, consumul de gaze naturale pentru uz</w:t>
      </w:r>
      <w:r>
        <w:rPr>
          <w:lang w:val="ro-RO"/>
        </w:rPr>
        <w:t xml:space="preserve"> </w:t>
      </w:r>
      <w:r w:rsidRPr="00EA23E2">
        <w:rPr>
          <w:lang w:val="ro-RO"/>
        </w:rPr>
        <w:t>casnic a evoluat de la 2713,2 milioane metri cubi în 1990 la 3444,1 milioane</w:t>
      </w:r>
      <w:r>
        <w:rPr>
          <w:lang w:val="ro-RO"/>
        </w:rPr>
        <w:t xml:space="preserve"> </w:t>
      </w:r>
      <w:r w:rsidRPr="00EA23E2">
        <w:rPr>
          <w:lang w:val="ro-RO"/>
        </w:rPr>
        <w:t>metri cubi în 2020 – o creștere de 26,9% în trei decenii; 6) Comparând luna iunie 2022 cu decembrie 2021, observăm</w:t>
      </w:r>
      <w:r w:rsidR="00141F58">
        <w:rPr>
          <w:lang w:val="ro-RO"/>
        </w:rPr>
        <w:t xml:space="preserve">, </w:t>
      </w:r>
      <w:r w:rsidRPr="00EA23E2">
        <w:rPr>
          <w:lang w:val="ro-RO"/>
        </w:rPr>
        <w:t xml:space="preserve">la nivel total, </w:t>
      </w:r>
      <w:r w:rsidR="00141F58">
        <w:rPr>
          <w:lang w:val="ro-RO"/>
        </w:rPr>
        <w:t xml:space="preserve">o </w:t>
      </w:r>
      <w:r w:rsidRPr="00EA23E2">
        <w:rPr>
          <w:lang w:val="ro-RO"/>
        </w:rPr>
        <w:t>creștere</w:t>
      </w:r>
      <w:r w:rsidR="00141F58">
        <w:rPr>
          <w:lang w:val="ro-RO"/>
        </w:rPr>
        <w:t xml:space="preserve"> </w:t>
      </w:r>
      <w:r w:rsidRPr="00EA23E2">
        <w:rPr>
          <w:lang w:val="ro-RO"/>
        </w:rPr>
        <w:t>a IPC de 10%. Dacă este să privim la creșterea din segmentul care include energia</w:t>
      </w:r>
      <w:r>
        <w:rPr>
          <w:lang w:val="ro-RO"/>
        </w:rPr>
        <w:t xml:space="preserve"> </w:t>
      </w:r>
      <w:r w:rsidRPr="00EA23E2">
        <w:rPr>
          <w:lang w:val="ro-RO"/>
        </w:rPr>
        <w:t>electrică, gazele naturale și încălzirea centralizată, ea a fost de 21,7% în</w:t>
      </w:r>
      <w:r>
        <w:rPr>
          <w:lang w:val="ro-RO"/>
        </w:rPr>
        <w:t xml:space="preserve"> </w:t>
      </w:r>
      <w:r w:rsidRPr="00EA23E2">
        <w:rPr>
          <w:lang w:val="ro-RO"/>
        </w:rPr>
        <w:t>perioada studiată. Creșterea la energie electrică a fost de 20,4%. La</w:t>
      </w:r>
      <w:r>
        <w:rPr>
          <w:lang w:val="ro-RO"/>
        </w:rPr>
        <w:t xml:space="preserve"> </w:t>
      </w:r>
      <w:r w:rsidRPr="00EA23E2">
        <w:rPr>
          <w:lang w:val="ro-RO"/>
        </w:rPr>
        <w:t xml:space="preserve">gaze naturale, </w:t>
      </w:r>
      <w:r w:rsidR="00141F58">
        <w:rPr>
          <w:lang w:val="ro-RO"/>
        </w:rPr>
        <w:t>mărirea</w:t>
      </w:r>
      <w:r w:rsidR="00141F58" w:rsidRPr="00EA23E2">
        <w:rPr>
          <w:lang w:val="ro-RO"/>
        </w:rPr>
        <w:t xml:space="preserve"> </w:t>
      </w:r>
      <w:r w:rsidRPr="00EA23E2">
        <w:rPr>
          <w:lang w:val="ro-RO"/>
        </w:rPr>
        <w:t>prețurilor a fost de 25%, pentru ca, la încălzirea</w:t>
      </w:r>
      <w:r>
        <w:rPr>
          <w:lang w:val="ro-RO"/>
        </w:rPr>
        <w:t xml:space="preserve"> </w:t>
      </w:r>
      <w:r w:rsidRPr="00EA23E2">
        <w:rPr>
          <w:lang w:val="ro-RO"/>
        </w:rPr>
        <w:t xml:space="preserve">centralizată, </w:t>
      </w:r>
      <w:r w:rsidR="00141F58">
        <w:rPr>
          <w:lang w:val="ro-RO"/>
        </w:rPr>
        <w:t>plusul</w:t>
      </w:r>
      <w:r w:rsidR="00141F58" w:rsidRPr="00EA23E2">
        <w:rPr>
          <w:lang w:val="ro-RO"/>
        </w:rPr>
        <w:t xml:space="preserve"> </w:t>
      </w:r>
      <w:r w:rsidRPr="00EA23E2">
        <w:rPr>
          <w:lang w:val="ro-RO"/>
        </w:rPr>
        <w:t>înregistrat să fie de 7,6%; 7) Creșterea nivelului general de bunăstare din România se</w:t>
      </w:r>
      <w:r>
        <w:rPr>
          <w:lang w:val="ro-RO"/>
        </w:rPr>
        <w:t xml:space="preserve"> </w:t>
      </w:r>
      <w:r w:rsidRPr="00EA23E2">
        <w:rPr>
          <w:lang w:val="ro-RO"/>
        </w:rPr>
        <w:t>traduce și în calitatea caselor pe care și le construiesc românii. De exemplu,</w:t>
      </w:r>
      <w:r>
        <w:rPr>
          <w:lang w:val="ro-RO"/>
        </w:rPr>
        <w:t xml:space="preserve"> </w:t>
      </w:r>
      <w:r w:rsidRPr="00EA23E2">
        <w:rPr>
          <w:lang w:val="ro-RO"/>
        </w:rPr>
        <w:t>în ceea ce privește locuințele noi cu centrală termică, numărul a crescut de la</w:t>
      </w:r>
      <w:r w:rsidR="00141F58">
        <w:rPr>
          <w:lang w:val="ro-RO"/>
        </w:rPr>
        <w:t xml:space="preserve"> </w:t>
      </w:r>
      <w:r w:rsidRPr="00EA23E2">
        <w:rPr>
          <w:lang w:val="ro-RO"/>
        </w:rPr>
        <w:t>15072 în 1994 la 67011 în 2021, o creștere de 344,6%. Similar, în ceea ce privește</w:t>
      </w:r>
      <w:r>
        <w:rPr>
          <w:lang w:val="ro-RO"/>
        </w:rPr>
        <w:t xml:space="preserve"> </w:t>
      </w:r>
      <w:r w:rsidRPr="00EA23E2">
        <w:rPr>
          <w:lang w:val="ro-RO"/>
        </w:rPr>
        <w:t>numărul locuințelor noi conectate la rețeaua electrică, el a crescut de la</w:t>
      </w:r>
      <w:r w:rsidR="00141F58">
        <w:rPr>
          <w:lang w:val="ro-RO"/>
        </w:rPr>
        <w:t xml:space="preserve"> </w:t>
      </w:r>
      <w:r w:rsidRPr="00EA23E2">
        <w:rPr>
          <w:lang w:val="ro-RO"/>
        </w:rPr>
        <w:t>33939 în 1995 la 71343 în 2021.</w:t>
      </w:r>
    </w:p>
    <w:p w14:paraId="58E029D9" w14:textId="55612CE0" w:rsidR="006E1039" w:rsidRPr="0030124E" w:rsidRDefault="00EA23E2" w:rsidP="00656845">
      <w:pPr>
        <w:spacing w:line="360" w:lineRule="auto"/>
        <w:ind w:firstLine="567"/>
        <w:jc w:val="both"/>
        <w:rPr>
          <w:lang w:val="ro-RO"/>
        </w:rPr>
      </w:pPr>
      <w:r w:rsidRPr="00B24ADD">
        <w:rPr>
          <w:lang w:val="ro-RO"/>
        </w:rPr>
        <w:t xml:space="preserve">Din perspectivă subiectivă, câteva aspecte se remarcă. În primul rând, oamenii </w:t>
      </w:r>
      <w:r>
        <w:rPr>
          <w:lang w:val="ro-RO"/>
        </w:rPr>
        <w:t xml:space="preserve">sunt din ce în ce mai îngrijorați de costul energiei și raportează cheltuieli tot mai mari cu aceasta. În al doilea rând, crește numărul celor care identifică energia regenerabilă ca formă preferată de energie. </w:t>
      </w:r>
      <w:r w:rsidRPr="00B24ADD">
        <w:rPr>
          <w:lang w:val="ro-RO"/>
        </w:rPr>
        <w:t xml:space="preserve">În al </w:t>
      </w:r>
      <w:r>
        <w:rPr>
          <w:lang w:val="ro-RO"/>
        </w:rPr>
        <w:t>treilea</w:t>
      </w:r>
      <w:r w:rsidRPr="00B24ADD">
        <w:rPr>
          <w:lang w:val="ro-RO"/>
        </w:rPr>
        <w:t xml:space="preserve"> rând, factorii socio-demografici au o capacitate explicativă </w:t>
      </w:r>
      <w:r>
        <w:rPr>
          <w:lang w:val="ro-RO"/>
        </w:rPr>
        <w:t>redusă spre medie</w:t>
      </w:r>
      <w:r w:rsidRPr="00B24ADD">
        <w:rPr>
          <w:lang w:val="ro-RO"/>
        </w:rPr>
        <w:t xml:space="preserve"> în raport cu evaluările privind </w:t>
      </w:r>
      <w:r>
        <w:rPr>
          <w:lang w:val="ro-RO"/>
        </w:rPr>
        <w:t>energia</w:t>
      </w:r>
      <w:r w:rsidRPr="00B24ADD">
        <w:rPr>
          <w:lang w:val="ro-RO"/>
        </w:rPr>
        <w:t xml:space="preserve">. În al </w:t>
      </w:r>
      <w:r>
        <w:rPr>
          <w:lang w:val="ro-RO"/>
        </w:rPr>
        <w:t>patrulea</w:t>
      </w:r>
      <w:r w:rsidRPr="00B24ADD">
        <w:rPr>
          <w:lang w:val="ro-RO"/>
        </w:rPr>
        <w:t xml:space="preserve"> rând, evaluările</w:t>
      </w:r>
      <w:r>
        <w:rPr>
          <w:lang w:val="ro-RO"/>
        </w:rPr>
        <w:t xml:space="preserve"> </w:t>
      </w:r>
      <w:r w:rsidRPr="00B24ADD">
        <w:rPr>
          <w:lang w:val="ro-RO"/>
        </w:rPr>
        <w:t xml:space="preserve">privind </w:t>
      </w:r>
      <w:r>
        <w:rPr>
          <w:lang w:val="ro-RO"/>
        </w:rPr>
        <w:t>energia</w:t>
      </w:r>
      <w:r w:rsidRPr="00B24ADD">
        <w:rPr>
          <w:lang w:val="ro-RO"/>
        </w:rPr>
        <w:t xml:space="preserve"> sunt </w:t>
      </w:r>
      <w:r>
        <w:rPr>
          <w:lang w:val="ro-RO"/>
        </w:rPr>
        <w:t xml:space="preserve">puțin corelate </w:t>
      </w:r>
      <w:r w:rsidRPr="00B24ADD">
        <w:rPr>
          <w:lang w:val="ro-RO"/>
        </w:rPr>
        <w:t>cu evaluarea mai generală despre mersul lucrurilor în România</w:t>
      </w:r>
      <w:r>
        <w:rPr>
          <w:lang w:val="ro-RO"/>
        </w:rPr>
        <w:t>.</w:t>
      </w:r>
    </w:p>
    <w:sectPr w:rsidR="006E1039" w:rsidRPr="0030124E" w:rsidSect="002162EC">
      <w:headerReference w:type="default" r:id="rId23"/>
      <w:footerReference w:type="even" r:id="rId24"/>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4D6AD" w14:textId="77777777" w:rsidR="000711F9" w:rsidRDefault="000711F9" w:rsidP="00EB1D6A">
      <w:r>
        <w:separator/>
      </w:r>
    </w:p>
  </w:endnote>
  <w:endnote w:type="continuationSeparator" w:id="0">
    <w:p w14:paraId="7B169AB0" w14:textId="77777777" w:rsidR="000711F9" w:rsidRDefault="000711F9" w:rsidP="00EB1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6247298"/>
      <w:docPartObj>
        <w:docPartGallery w:val="Page Numbers (Bottom of Page)"/>
        <w:docPartUnique/>
      </w:docPartObj>
    </w:sdtPr>
    <w:sdtEndPr>
      <w:rPr>
        <w:rStyle w:val="PageNumber"/>
      </w:rPr>
    </w:sdtEndPr>
    <w:sdtContent>
      <w:p w14:paraId="6DDCBE03" w14:textId="6A4AE7ED" w:rsidR="00005E01" w:rsidRDefault="00005E01" w:rsidP="00E653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44A0E2" w14:textId="77777777" w:rsidR="00005E01" w:rsidRDefault="00005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3085714"/>
      <w:docPartObj>
        <w:docPartGallery w:val="Page Numbers (Bottom of Page)"/>
        <w:docPartUnique/>
      </w:docPartObj>
    </w:sdtPr>
    <w:sdtEndPr>
      <w:rPr>
        <w:rStyle w:val="PageNumber"/>
      </w:rPr>
    </w:sdtEndPr>
    <w:sdtContent>
      <w:p w14:paraId="22018BC9" w14:textId="145EB147" w:rsidR="00005E01" w:rsidRDefault="00005E01" w:rsidP="00E653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6AC997" w14:textId="7B0E61A8" w:rsidR="00F22E42" w:rsidRDefault="00F22E42" w:rsidP="00F22E42">
    <w:pPr>
      <w:pStyle w:val="Footer"/>
      <w:rPr>
        <w:rFonts w:ascii="Trebuchet MS" w:hAnsi="Trebuchet MS"/>
        <w:i/>
        <w:iCs/>
        <w:color w:val="003399"/>
        <w:sz w:val="18"/>
        <w:szCs w:val="18"/>
      </w:rPr>
    </w:pPr>
    <w:r w:rsidRPr="00F22E42">
      <w:rPr>
        <w:rFonts w:ascii="Trebuchet MS" w:hAnsi="Trebuchet MS"/>
        <w:i/>
        <w:iCs/>
        <w:color w:val="003399"/>
        <w:sz w:val="18"/>
        <w:szCs w:val="18"/>
      </w:rPr>
      <w:drawing>
        <wp:anchor distT="0" distB="0" distL="114300" distR="114300" simplePos="0" relativeHeight="251667456" behindDoc="0" locked="0" layoutInCell="1" allowOverlap="1" wp14:anchorId="1715628A" wp14:editId="06809BB5">
          <wp:simplePos x="0" y="0"/>
          <wp:positionH relativeFrom="margin">
            <wp:posOffset>5961380</wp:posOffset>
          </wp:positionH>
          <wp:positionV relativeFrom="paragraph">
            <wp:posOffset>34290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sidRPr="00F22E42">
      <w:rPr>
        <w:rFonts w:ascii="Trebuchet MS" w:hAnsi="Trebuchet MS"/>
        <w:i/>
        <w:iCs/>
        <w:color w:val="003399"/>
        <w:sz w:val="18"/>
        <w:szCs w:val="18"/>
      </w:rPr>
      <w:drawing>
        <wp:anchor distT="0" distB="0" distL="114300" distR="114300" simplePos="0" relativeHeight="251666432" behindDoc="0" locked="0" layoutInCell="1" allowOverlap="1" wp14:anchorId="66C65B62" wp14:editId="0EE226E1">
          <wp:simplePos x="0" y="0"/>
          <wp:positionH relativeFrom="margin">
            <wp:posOffset>5513705</wp:posOffset>
          </wp:positionH>
          <wp:positionV relativeFrom="paragraph">
            <wp:posOffset>31115</wp:posOffset>
          </wp:positionV>
          <wp:extent cx="275590" cy="275590"/>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5590" cy="275590"/>
                  </a:xfrm>
                  <a:prstGeom prst="rect">
                    <a:avLst/>
                  </a:prstGeom>
                  <a:noFill/>
                  <a:ln>
                    <a:noFill/>
                    <a:prstDash/>
                  </a:ln>
                </pic:spPr>
              </pic:pic>
            </a:graphicData>
          </a:graphic>
        </wp:anchor>
      </w:drawing>
    </w:r>
    <w:r w:rsidRPr="00F22E42">
      <w:rPr>
        <w:rFonts w:ascii="Trebuchet MS" w:hAnsi="Trebuchet MS"/>
        <w:i/>
        <w:iCs/>
        <w:color w:val="003399"/>
        <w:sz w:val="18"/>
        <w:szCs w:val="18"/>
      </w:rPr>
      <w:drawing>
        <wp:anchor distT="0" distB="0" distL="114300" distR="114300" simplePos="0" relativeHeight="251665408" behindDoc="0" locked="0" layoutInCell="1" allowOverlap="1" wp14:anchorId="2315A28E" wp14:editId="14FA3B17">
          <wp:simplePos x="0" y="0"/>
          <wp:positionH relativeFrom="column">
            <wp:posOffset>4080510</wp:posOffset>
          </wp:positionH>
          <wp:positionV relativeFrom="paragraph">
            <wp:posOffset>33655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EC49799" w14:textId="66D7365A" w:rsidR="00F22E42" w:rsidRPr="00AD473A" w:rsidRDefault="00F22E42" w:rsidP="00F22E42">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3360" behindDoc="1" locked="0" layoutInCell="1" allowOverlap="1" wp14:anchorId="39EF2CC1" wp14:editId="2794BAC3">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6F89814" w14:textId="77777777" w:rsidR="00F22E42" w:rsidRDefault="00F22E42" w:rsidP="00F22E42">
    <w:pPr>
      <w:pStyle w:val="Footer"/>
      <w:ind w:right="360"/>
    </w:pPr>
  </w:p>
  <w:p w14:paraId="38013957" w14:textId="77777777" w:rsidR="00005E01" w:rsidRDefault="00005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94557" w14:textId="77777777" w:rsidR="000711F9" w:rsidRDefault="000711F9" w:rsidP="00EB1D6A">
      <w:r>
        <w:separator/>
      </w:r>
    </w:p>
  </w:footnote>
  <w:footnote w:type="continuationSeparator" w:id="0">
    <w:p w14:paraId="37117233" w14:textId="77777777" w:rsidR="000711F9" w:rsidRDefault="000711F9" w:rsidP="00EB1D6A">
      <w:r>
        <w:continuationSeparator/>
      </w:r>
    </w:p>
  </w:footnote>
  <w:footnote w:id="1">
    <w:p w14:paraId="5E53BFBA" w14:textId="2CF75F7E" w:rsidR="0030124E" w:rsidRPr="00EB1D6A" w:rsidRDefault="0030124E" w:rsidP="0030124E">
      <w:pPr>
        <w:pStyle w:val="FootnoteText"/>
        <w:jc w:val="both"/>
        <w:rPr>
          <w:lang w:val="ro-RO"/>
        </w:rPr>
      </w:pPr>
      <w:r>
        <w:rPr>
          <w:rStyle w:val="FootnoteReference"/>
        </w:rPr>
        <w:footnoteRef/>
      </w:r>
      <w:r>
        <w:t xml:space="preserve"> </w:t>
      </w:r>
      <w:r>
        <w:rPr>
          <w:lang w:val="ro-RO"/>
        </w:rPr>
        <w:t xml:space="preserve">Strategia Națională pentru Dezvoltarea Durabilă a României 2030, pagina 51, accesibilă la </w:t>
      </w:r>
      <w:hyperlink r:id="rId1" w:history="1">
        <w:r w:rsidRPr="005C581F">
          <w:rPr>
            <w:rStyle w:val="Hyperlink"/>
            <w:lang w:val="ro-RO"/>
          </w:rPr>
          <w:t>http://dezvoltaredurabila.gov.ro/web/wp-content/uploads/2020/10/Strategia-nationala-pentru-dezvoltarea-durabila-a-Romaniei-2030_002.pdf</w:t>
        </w:r>
      </w:hyperlink>
      <w:r>
        <w:rPr>
          <w:lang w:val="ro-RO"/>
        </w:rPr>
        <w:t xml:space="preserve"> (data accesării: 26/02/2021).</w:t>
      </w:r>
    </w:p>
  </w:footnote>
  <w:footnote w:id="2">
    <w:p w14:paraId="6F23B583" w14:textId="5AEF2121" w:rsidR="001644A9" w:rsidRPr="00237B1F" w:rsidRDefault="001644A9" w:rsidP="001644A9">
      <w:pPr>
        <w:pStyle w:val="FootnoteText"/>
        <w:jc w:val="both"/>
        <w:rPr>
          <w:lang w:val="ro-RO"/>
        </w:rPr>
      </w:pPr>
      <w:r w:rsidRPr="00237B1F">
        <w:rPr>
          <w:rStyle w:val="FootnoteReference"/>
          <w:lang w:val="ro-RO"/>
        </w:rPr>
        <w:footnoteRef/>
      </w:r>
      <w:r w:rsidRPr="00237B1F">
        <w:rPr>
          <w:lang w:val="ro-RO"/>
        </w:rPr>
        <w:t xml:space="preserve"> Sondaj de opinie reprezentativ pentru populația adultă neinstituționalizată a României, realizat pe un eșantion de 1,002 persoane, în perioada 8 – 18 decembrie 2020. Eșantion stratificat </w:t>
      </w:r>
      <w:proofErr w:type="spellStart"/>
      <w:r w:rsidRPr="00237B1F">
        <w:rPr>
          <w:lang w:val="ro-RO"/>
        </w:rPr>
        <w:t>bistadial</w:t>
      </w:r>
      <w:proofErr w:type="spellEnd"/>
      <w:r w:rsidRPr="00237B1F">
        <w:rPr>
          <w:lang w:val="ro-RO"/>
        </w:rPr>
        <w:t xml:space="preserve"> cu selecție probabilistică a persoanelor. Datele au fost culese prin interviuri telefonice (CATI). Eroarea maximă de eșantionare, la un nivel de 95%, este de </w:t>
      </w:r>
      <w:r w:rsidRPr="00237B1F">
        <w:rPr>
          <w:lang w:val="ro-RO"/>
        </w:rPr>
        <w:t> 3,2%. S-a realizat ponderarea proporțională iterativă (</w:t>
      </w:r>
      <w:proofErr w:type="spellStart"/>
      <w:r w:rsidRPr="00237B1F">
        <w:rPr>
          <w:lang w:val="ro-RO"/>
        </w:rPr>
        <w:t>Raking</w:t>
      </w:r>
      <w:proofErr w:type="spellEnd"/>
      <w:r w:rsidRPr="00237B1F">
        <w:rPr>
          <w:lang w:val="ro-RO"/>
        </w:rPr>
        <w:t>/</w:t>
      </w:r>
      <w:proofErr w:type="spellStart"/>
      <w:r w:rsidRPr="00237B1F">
        <w:rPr>
          <w:lang w:val="ro-RO"/>
        </w:rPr>
        <w:t>Rim</w:t>
      </w:r>
      <w:proofErr w:type="spellEnd"/>
      <w:r w:rsidRPr="00237B1F">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06F9FB74" w14:textId="77777777" w:rsidR="004C6CAA" w:rsidRPr="0010335D" w:rsidRDefault="004C6CAA" w:rsidP="004C6CAA">
      <w:pPr>
        <w:pStyle w:val="FootnoteText"/>
        <w:jc w:val="both"/>
        <w:rPr>
          <w:lang w:val="ro-RO"/>
        </w:rPr>
      </w:pPr>
      <w:r>
        <w:rPr>
          <w:rStyle w:val="FootnoteReference"/>
        </w:rPr>
        <w:footnoteRef/>
      </w:r>
      <w:r>
        <w:t xml:space="preserve"> </w:t>
      </w:r>
      <w:r w:rsidRPr="00092AFD">
        <w:rPr>
          <w:rFonts w:cstheme="minorHAnsi"/>
          <w:lang w:val="ro-RO"/>
        </w:rPr>
        <w:t>Sondaj de opinie reprezentativ pentru populația adultă neinstituționalizată a României, realizat pe un eșantion de 1,00</w:t>
      </w:r>
      <w:r>
        <w:rPr>
          <w:rFonts w:cstheme="minorHAnsi"/>
          <w:lang w:val="ro-RO"/>
        </w:rPr>
        <w:t>3</w:t>
      </w:r>
      <w:r w:rsidRPr="00092AFD">
        <w:rPr>
          <w:rFonts w:cstheme="minorHAnsi"/>
          <w:lang w:val="ro-RO"/>
        </w:rPr>
        <w:t xml:space="preserve"> persoane, în perioada </w:t>
      </w:r>
      <w:r>
        <w:rPr>
          <w:rFonts w:cstheme="minorHAnsi"/>
          <w:lang w:val="ro-RO"/>
        </w:rPr>
        <w:t>21</w:t>
      </w:r>
      <w:r w:rsidRPr="00092AFD">
        <w:rPr>
          <w:rFonts w:cstheme="minorHAnsi"/>
          <w:lang w:val="ro-RO"/>
        </w:rPr>
        <w:t xml:space="preserve"> </w:t>
      </w:r>
      <w:r>
        <w:rPr>
          <w:rFonts w:cstheme="minorHAnsi"/>
          <w:lang w:val="ro-RO"/>
        </w:rPr>
        <w:t>decembrie</w:t>
      </w:r>
      <w:r w:rsidRPr="00092AFD">
        <w:rPr>
          <w:rFonts w:cstheme="minorHAnsi"/>
          <w:lang w:val="ro-RO"/>
        </w:rPr>
        <w:t xml:space="preserve"> 202</w:t>
      </w:r>
      <w:r>
        <w:rPr>
          <w:rFonts w:cstheme="minorHAnsi"/>
          <w:lang w:val="ro-RO"/>
        </w:rPr>
        <w:t>1 – 7 ianuarie 2022</w:t>
      </w:r>
      <w:r w:rsidRPr="00092AFD">
        <w:rPr>
          <w:rFonts w:cstheme="minorHAnsi"/>
          <w:lang w:val="ro-RO"/>
        </w:rPr>
        <w:t xml:space="preserve">. Eșantion stratificat </w:t>
      </w:r>
      <w:proofErr w:type="spellStart"/>
      <w:r w:rsidRPr="00092AFD">
        <w:rPr>
          <w:rFonts w:cstheme="minorHAnsi"/>
          <w:lang w:val="ro-RO"/>
        </w:rPr>
        <w:t>bistadial</w:t>
      </w:r>
      <w:proofErr w:type="spellEnd"/>
      <w:r w:rsidRPr="00092AFD">
        <w:rPr>
          <w:rFonts w:cstheme="minorHAnsi"/>
          <w:lang w:val="ro-RO"/>
        </w:rPr>
        <w:t xml:space="preserve"> cu selecție probabilistică a persoanelor. Datele au fost culese prin interviuri telefonice (CATI). Eroarea maximă de eșantionare, la un nivel de 95%, este de </w:t>
      </w:r>
      <w:r w:rsidRPr="00092AFD">
        <w:rPr>
          <w:rFonts w:cstheme="minorHAnsi"/>
          <w:lang w:val="ro-RO"/>
        </w:rPr>
        <w:sym w:font="Symbol" w:char="F0B1"/>
      </w:r>
      <w:r w:rsidRPr="00092AFD">
        <w:rPr>
          <w:rFonts w:cstheme="minorHAnsi"/>
          <w:lang w:val="ro-RO"/>
        </w:rPr>
        <w:t xml:space="preserve"> 3,2%. S-a realizat ponderarea proporțională iterativă (</w:t>
      </w:r>
      <w:proofErr w:type="spellStart"/>
      <w:r w:rsidRPr="00092AFD">
        <w:rPr>
          <w:rFonts w:cstheme="minorHAnsi"/>
          <w:lang w:val="ro-RO"/>
        </w:rPr>
        <w:t>Raking</w:t>
      </w:r>
      <w:proofErr w:type="spellEnd"/>
      <w:r w:rsidRPr="00092AFD">
        <w:rPr>
          <w:rFonts w:cstheme="minorHAnsi"/>
          <w:lang w:val="ro-RO"/>
        </w:rPr>
        <w:t>/</w:t>
      </w:r>
      <w:proofErr w:type="spellStart"/>
      <w:r w:rsidRPr="00092AFD">
        <w:rPr>
          <w:rFonts w:cstheme="minorHAnsi"/>
          <w:lang w:val="ro-RO"/>
        </w:rPr>
        <w:t>Rim</w:t>
      </w:r>
      <w:proofErr w:type="spellEnd"/>
      <w:r w:rsidRPr="00092AFD">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4">
    <w:p w14:paraId="3465336A" w14:textId="51EDA8CD" w:rsidR="00D1605A" w:rsidRPr="00D1605A" w:rsidRDefault="00D1605A">
      <w:pPr>
        <w:pStyle w:val="FootnoteText"/>
        <w:rPr>
          <w:lang w:val="ro-RO"/>
        </w:rPr>
      </w:pPr>
      <w:r>
        <w:rPr>
          <w:rStyle w:val="FootnoteReference"/>
        </w:rPr>
        <w:footnoteRef/>
      </w:r>
      <w:r>
        <w:t xml:space="preserve"> </w:t>
      </w:r>
      <w:hyperlink r:id="rId2" w:history="1">
        <w:r w:rsidRPr="00FB384B">
          <w:rPr>
            <w:rStyle w:val="Hyperlink"/>
          </w:rPr>
          <w:t>https://ec.europa.eu/eurostat/databrowser/view/sdg_07_60/default/table?lang=en</w:t>
        </w:r>
      </w:hyperlink>
      <w:r>
        <w:t xml:space="preserve"> (</w:t>
      </w:r>
      <w:proofErr w:type="spellStart"/>
      <w:r>
        <w:t>Accesat</w:t>
      </w:r>
      <w:proofErr w:type="spellEnd"/>
      <w:r>
        <w:t>: 28/07/2022).</w:t>
      </w:r>
    </w:p>
  </w:footnote>
  <w:footnote w:id="5">
    <w:p w14:paraId="104E38A4" w14:textId="1A05D2FC" w:rsidR="00824A50" w:rsidRPr="00824A50" w:rsidRDefault="00824A50">
      <w:pPr>
        <w:pStyle w:val="FootnoteText"/>
        <w:rPr>
          <w:lang w:val="ro-RO"/>
        </w:rPr>
      </w:pPr>
      <w:r>
        <w:rPr>
          <w:rStyle w:val="FootnoteReference"/>
        </w:rPr>
        <w:footnoteRef/>
      </w:r>
      <w:r>
        <w:t xml:space="preserve"> </w:t>
      </w:r>
      <w:hyperlink r:id="rId3" w:history="1">
        <w:r w:rsidRPr="00FB384B">
          <w:rPr>
            <w:rStyle w:val="Hyperlink"/>
          </w:rPr>
          <w:t>https://ec.europa.eu/eurostat/databrowser/view/sdg_07_40/default/table?lang=en</w:t>
        </w:r>
      </w:hyperlink>
      <w:r>
        <w:t xml:space="preserve"> (</w:t>
      </w:r>
      <w:proofErr w:type="spellStart"/>
      <w:r>
        <w:t>Accesat</w:t>
      </w:r>
      <w:proofErr w:type="spellEnd"/>
      <w:r>
        <w:t>: 28/07/2022).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AAB2" w14:textId="77777777" w:rsidR="00F22E42" w:rsidRPr="00F22E42" w:rsidRDefault="00F22E42" w:rsidP="00F22E42">
    <w:pPr>
      <w:tabs>
        <w:tab w:val="center" w:pos="4513"/>
        <w:tab w:val="right" w:pos="9026"/>
      </w:tabs>
      <w:jc w:val="center"/>
    </w:pPr>
    <w:r w:rsidRPr="00F22E42">
      <w:rPr>
        <w:noProof/>
      </w:rPr>
      <w:drawing>
        <wp:inline distT="0" distB="0" distL="0" distR="0" wp14:anchorId="7AC662AE" wp14:editId="27C49C1B">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6A712F40" w14:textId="77777777" w:rsidR="00F22E42" w:rsidRPr="00F22E42" w:rsidRDefault="00F22E42" w:rsidP="00F22E42">
    <w:pPr>
      <w:tabs>
        <w:tab w:val="center" w:pos="4513"/>
        <w:tab w:val="right" w:pos="9026"/>
      </w:tabs>
      <w:jc w:val="center"/>
    </w:pPr>
    <w:r w:rsidRPr="00F22E42">
      <w:rPr>
        <w:noProof/>
      </w:rPr>
      <mc:AlternateContent>
        <mc:Choice Requires="wps">
          <w:drawing>
            <wp:anchor distT="0" distB="0" distL="114300" distR="114300" simplePos="0" relativeHeight="251659264" behindDoc="0" locked="0" layoutInCell="1" allowOverlap="1" wp14:anchorId="3CA58B0E" wp14:editId="35D46A5C">
              <wp:simplePos x="0" y="0"/>
              <wp:positionH relativeFrom="margin">
                <wp:posOffset>-1874</wp:posOffset>
              </wp:positionH>
              <wp:positionV relativeFrom="paragraph">
                <wp:posOffset>109599</wp:posOffset>
              </wp:positionV>
              <wp:extent cx="6524627" cy="11430"/>
              <wp:effectExtent l="19050" t="19050" r="28573" b="26670"/>
              <wp:wrapNone/>
              <wp:docPr id="1"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3CDD476D"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" strokecolor="#039" strokeweight="2.25pt">
              <v:stroke joinstyle="miter"/>
              <w10:wrap anchorx="margin"/>
            </v:shape>
          </w:pict>
        </mc:Fallback>
      </mc:AlternateContent>
    </w:r>
  </w:p>
  <w:p w14:paraId="132E9A1F" w14:textId="77777777" w:rsidR="00F22E42" w:rsidRPr="00F22E42" w:rsidRDefault="00F22E42" w:rsidP="00F22E42">
    <w:pPr>
      <w:tabs>
        <w:tab w:val="center" w:pos="4513"/>
        <w:tab w:val="right" w:pos="9026"/>
      </w:tabs>
      <w:jc w:val="center"/>
    </w:pPr>
    <w:r w:rsidRPr="00F22E42">
      <w:rPr>
        <w:rFonts w:ascii="Trebuchet MS" w:hAnsi="Trebuchet MS"/>
        <w:noProof/>
        <w:sz w:val="48"/>
        <w:szCs w:val="48"/>
      </w:rPr>
      <w:drawing>
        <wp:anchor distT="0" distB="0" distL="114300" distR="114300" simplePos="0" relativeHeight="251660288" behindDoc="0" locked="0" layoutInCell="1" allowOverlap="1" wp14:anchorId="31010FD5" wp14:editId="10C93201">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7DDB5201" w14:textId="77777777" w:rsidR="00F22E42" w:rsidRPr="00F22E42" w:rsidRDefault="00F22E42" w:rsidP="00F22E42">
    <w:pPr>
      <w:tabs>
        <w:tab w:val="center" w:pos="4513"/>
        <w:tab w:val="right" w:pos="9026"/>
      </w:tabs>
      <w:jc w:val="center"/>
    </w:pPr>
  </w:p>
  <w:p w14:paraId="61E5D9C9" w14:textId="77777777" w:rsidR="00F22E42" w:rsidRPr="00F22E42" w:rsidRDefault="00F22E42" w:rsidP="00F22E42">
    <w:pPr>
      <w:tabs>
        <w:tab w:val="center" w:pos="4513"/>
        <w:tab w:val="right" w:pos="9026"/>
      </w:tabs>
      <w:jc w:val="center"/>
    </w:pPr>
    <w:proofErr w:type="spellStart"/>
    <w:r w:rsidRPr="00F22E42">
      <w:rPr>
        <w:rFonts w:ascii="Trebuchet MS" w:hAnsi="Trebuchet MS"/>
        <w:i/>
        <w:iCs/>
        <w:color w:val="003399"/>
        <w:sz w:val="16"/>
        <w:szCs w:val="16"/>
      </w:rPr>
      <w:t>Proiect</w:t>
    </w:r>
    <w:proofErr w:type="spellEnd"/>
    <w:r w:rsidRPr="00F22E42">
      <w:rPr>
        <w:rFonts w:ascii="Trebuchet MS" w:hAnsi="Trebuchet MS"/>
        <w:i/>
        <w:iCs/>
        <w:color w:val="003399"/>
        <w:sz w:val="16"/>
        <w:szCs w:val="16"/>
      </w:rPr>
      <w:t xml:space="preserve"> </w:t>
    </w:r>
    <w:proofErr w:type="spellStart"/>
    <w:r w:rsidRPr="00F22E42">
      <w:rPr>
        <w:rFonts w:ascii="Trebuchet MS" w:hAnsi="Trebuchet MS"/>
        <w:i/>
        <w:iCs/>
        <w:color w:val="003399"/>
        <w:sz w:val="16"/>
        <w:szCs w:val="16"/>
      </w:rPr>
      <w:t>coordonat</w:t>
    </w:r>
    <w:proofErr w:type="spellEnd"/>
    <w:r w:rsidRPr="00F22E42">
      <w:rPr>
        <w:rFonts w:ascii="Trebuchet MS" w:hAnsi="Trebuchet MS"/>
        <w:i/>
        <w:iCs/>
        <w:color w:val="003399"/>
        <w:sz w:val="16"/>
        <w:szCs w:val="16"/>
      </w:rPr>
      <w:t xml:space="preserve"> de c</w:t>
    </w:r>
    <w:proofErr w:type="spellStart"/>
    <w:r w:rsidRPr="00F22E42">
      <w:rPr>
        <w:rFonts w:ascii="Trebuchet MS" w:hAnsi="Trebuchet MS"/>
        <w:i/>
        <w:iCs/>
        <w:color w:val="003399"/>
        <w:sz w:val="16"/>
        <w:szCs w:val="16"/>
        <w:lang w:val="ro-RO"/>
      </w:rPr>
      <w:t>ătre</w:t>
    </w:r>
    <w:proofErr w:type="spellEnd"/>
    <w:r w:rsidRPr="00F22E42">
      <w:rPr>
        <w:rFonts w:ascii="Trebuchet MS" w:hAnsi="Trebuchet MS"/>
        <w:i/>
        <w:iCs/>
        <w:color w:val="003399"/>
        <w:sz w:val="16"/>
        <w:szCs w:val="16"/>
        <w:lang w:val="ro-RO"/>
      </w:rPr>
      <w:t xml:space="preserve"> </w:t>
    </w:r>
    <w:proofErr w:type="spellStart"/>
    <w:r w:rsidRPr="00F22E42">
      <w:rPr>
        <w:rFonts w:ascii="Trebuchet MS" w:hAnsi="Trebuchet MS"/>
        <w:i/>
        <w:iCs/>
        <w:color w:val="003399"/>
        <w:sz w:val="16"/>
        <w:szCs w:val="16"/>
      </w:rPr>
      <w:t>Departamentul</w:t>
    </w:r>
    <w:proofErr w:type="spellEnd"/>
    <w:r w:rsidRPr="00F22E42">
      <w:rPr>
        <w:rFonts w:ascii="Trebuchet MS" w:hAnsi="Trebuchet MS"/>
        <w:i/>
        <w:iCs/>
        <w:color w:val="003399"/>
        <w:sz w:val="16"/>
        <w:szCs w:val="16"/>
      </w:rPr>
      <w:t xml:space="preserve"> </w:t>
    </w:r>
    <w:proofErr w:type="spellStart"/>
    <w:r w:rsidRPr="00F22E42">
      <w:rPr>
        <w:rFonts w:ascii="Trebuchet MS" w:hAnsi="Trebuchet MS"/>
        <w:i/>
        <w:iCs/>
        <w:color w:val="003399"/>
        <w:sz w:val="16"/>
        <w:szCs w:val="16"/>
      </w:rPr>
      <w:t>pentru</w:t>
    </w:r>
    <w:proofErr w:type="spellEnd"/>
    <w:r w:rsidRPr="00F22E42">
      <w:rPr>
        <w:rFonts w:ascii="Trebuchet MS" w:hAnsi="Trebuchet MS"/>
        <w:i/>
        <w:iCs/>
        <w:color w:val="003399"/>
        <w:sz w:val="16"/>
        <w:szCs w:val="16"/>
      </w:rPr>
      <w:t xml:space="preserve"> </w:t>
    </w:r>
    <w:proofErr w:type="spellStart"/>
    <w:r w:rsidRPr="00F22E42">
      <w:rPr>
        <w:rFonts w:ascii="Trebuchet MS" w:hAnsi="Trebuchet MS"/>
        <w:i/>
        <w:iCs/>
        <w:color w:val="003399"/>
        <w:sz w:val="16"/>
        <w:szCs w:val="16"/>
      </w:rPr>
      <w:t>Dezvoltare</w:t>
    </w:r>
    <w:proofErr w:type="spellEnd"/>
    <w:r w:rsidRPr="00F22E42">
      <w:rPr>
        <w:rFonts w:ascii="Trebuchet MS" w:hAnsi="Trebuchet MS"/>
        <w:i/>
        <w:iCs/>
        <w:color w:val="003399"/>
        <w:sz w:val="16"/>
        <w:szCs w:val="16"/>
      </w:rPr>
      <w:t xml:space="preserve"> </w:t>
    </w:r>
    <w:proofErr w:type="spellStart"/>
    <w:r w:rsidRPr="00F22E42">
      <w:rPr>
        <w:rFonts w:ascii="Trebuchet MS" w:hAnsi="Trebuchet MS"/>
        <w:i/>
        <w:iCs/>
        <w:color w:val="003399"/>
        <w:sz w:val="16"/>
        <w:szCs w:val="16"/>
      </w:rPr>
      <w:t>Durabil</w:t>
    </w:r>
    <w:proofErr w:type="spellEnd"/>
    <w:r w:rsidRPr="00F22E42">
      <w:rPr>
        <w:rFonts w:ascii="Trebuchet MS" w:hAnsi="Trebuchet MS"/>
        <w:i/>
        <w:iCs/>
        <w:color w:val="003399"/>
        <w:sz w:val="16"/>
        <w:szCs w:val="16"/>
        <w:lang w:val="ro-RO"/>
      </w:rPr>
      <w:t>ă</w:t>
    </w:r>
  </w:p>
  <w:p w14:paraId="49E0E3BD" w14:textId="77777777" w:rsidR="00F22E42" w:rsidRPr="00F22E42" w:rsidRDefault="00F22E42" w:rsidP="00F22E42">
    <w:pPr>
      <w:tabs>
        <w:tab w:val="center" w:pos="4513"/>
        <w:tab w:val="right" w:pos="9026"/>
      </w:tabs>
      <w:jc w:val="center"/>
    </w:pPr>
    <w:r w:rsidRPr="00F22E42">
      <w:rPr>
        <w:noProof/>
      </w:rPr>
      <mc:AlternateContent>
        <mc:Choice Requires="wps">
          <w:drawing>
            <wp:anchor distT="0" distB="0" distL="114300" distR="114300" simplePos="0" relativeHeight="251661312" behindDoc="0" locked="0" layoutInCell="1" allowOverlap="1" wp14:anchorId="118FF8C1" wp14:editId="5B46B3EB">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7FA60C74"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538D9CD4" w14:textId="77777777" w:rsidR="00F22E42" w:rsidRPr="00F22E42" w:rsidRDefault="00F22E42" w:rsidP="00F22E42">
    <w:pPr>
      <w:tabs>
        <w:tab w:val="center" w:pos="4513"/>
        <w:tab w:val="right" w:pos="9026"/>
      </w:tabs>
    </w:pPr>
  </w:p>
  <w:p w14:paraId="0ABD30E6" w14:textId="77777777" w:rsidR="00F22E42" w:rsidRDefault="00F22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D42BFD"/>
    <w:multiLevelType w:val="hybridMultilevel"/>
    <w:tmpl w:val="F1A28D14"/>
    <w:lvl w:ilvl="0" w:tplc="AD8C748E">
      <w:start w:val="2"/>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7D7E27A2"/>
    <w:multiLevelType w:val="hybridMultilevel"/>
    <w:tmpl w:val="6DFCF608"/>
    <w:lvl w:ilvl="0" w:tplc="EF7E4D14">
      <w:start w:val="2"/>
      <w:numFmt w:val="bullet"/>
      <w:lvlText w:val="-"/>
      <w:lvlJc w:val="left"/>
      <w:pPr>
        <w:ind w:left="1287" w:hanging="360"/>
      </w:pPr>
      <w:rPr>
        <w:rFonts w:ascii="Calibri" w:eastAsiaTheme="minorHAnsi" w:hAnsi="Calibri" w:cs="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2CD"/>
    <w:rsid w:val="00001171"/>
    <w:rsid w:val="00005E01"/>
    <w:rsid w:val="0001135F"/>
    <w:rsid w:val="0002047D"/>
    <w:rsid w:val="000362B1"/>
    <w:rsid w:val="00041ECF"/>
    <w:rsid w:val="00044F16"/>
    <w:rsid w:val="0005293F"/>
    <w:rsid w:val="00063F68"/>
    <w:rsid w:val="00065595"/>
    <w:rsid w:val="00067B96"/>
    <w:rsid w:val="000711F9"/>
    <w:rsid w:val="000826E5"/>
    <w:rsid w:val="000A3091"/>
    <w:rsid w:val="000A54D6"/>
    <w:rsid w:val="000B2FA7"/>
    <w:rsid w:val="000C5105"/>
    <w:rsid w:val="000C7B82"/>
    <w:rsid w:val="000D5CCB"/>
    <w:rsid w:val="000E0688"/>
    <w:rsid w:val="000E2364"/>
    <w:rsid w:val="000E6B3B"/>
    <w:rsid w:val="000E7D9C"/>
    <w:rsid w:val="000F21D7"/>
    <w:rsid w:val="000F28B5"/>
    <w:rsid w:val="000F49C7"/>
    <w:rsid w:val="00100EF7"/>
    <w:rsid w:val="0010335D"/>
    <w:rsid w:val="00114014"/>
    <w:rsid w:val="00123FAB"/>
    <w:rsid w:val="001251E1"/>
    <w:rsid w:val="00136AB9"/>
    <w:rsid w:val="00141F58"/>
    <w:rsid w:val="00143B4E"/>
    <w:rsid w:val="00157B17"/>
    <w:rsid w:val="00162FED"/>
    <w:rsid w:val="001644A9"/>
    <w:rsid w:val="001908D8"/>
    <w:rsid w:val="001919DB"/>
    <w:rsid w:val="001A2672"/>
    <w:rsid w:val="001A3D3B"/>
    <w:rsid w:val="001C208A"/>
    <w:rsid w:val="001C5548"/>
    <w:rsid w:val="001D10BC"/>
    <w:rsid w:val="001D4E01"/>
    <w:rsid w:val="001E0BE3"/>
    <w:rsid w:val="001E75E5"/>
    <w:rsid w:val="002059F0"/>
    <w:rsid w:val="002108E9"/>
    <w:rsid w:val="00212291"/>
    <w:rsid w:val="002162EC"/>
    <w:rsid w:val="0021635C"/>
    <w:rsid w:val="002236F8"/>
    <w:rsid w:val="00232D46"/>
    <w:rsid w:val="00237B1F"/>
    <w:rsid w:val="00254DD5"/>
    <w:rsid w:val="00265576"/>
    <w:rsid w:val="00280890"/>
    <w:rsid w:val="00285B5C"/>
    <w:rsid w:val="00286E7D"/>
    <w:rsid w:val="00291F5C"/>
    <w:rsid w:val="0029290C"/>
    <w:rsid w:val="002976EB"/>
    <w:rsid w:val="002E32BB"/>
    <w:rsid w:val="002E5DFB"/>
    <w:rsid w:val="0030124E"/>
    <w:rsid w:val="00301A5F"/>
    <w:rsid w:val="00303535"/>
    <w:rsid w:val="00327695"/>
    <w:rsid w:val="0033705D"/>
    <w:rsid w:val="00343292"/>
    <w:rsid w:val="00370960"/>
    <w:rsid w:val="00392F4B"/>
    <w:rsid w:val="0039431C"/>
    <w:rsid w:val="003B4314"/>
    <w:rsid w:val="003C17A4"/>
    <w:rsid w:val="003E218B"/>
    <w:rsid w:val="003E2633"/>
    <w:rsid w:val="003E2C69"/>
    <w:rsid w:val="003F2034"/>
    <w:rsid w:val="00402682"/>
    <w:rsid w:val="00403429"/>
    <w:rsid w:val="004210F2"/>
    <w:rsid w:val="00425ACA"/>
    <w:rsid w:val="004308DF"/>
    <w:rsid w:val="004429B1"/>
    <w:rsid w:val="00443FC9"/>
    <w:rsid w:val="0044792C"/>
    <w:rsid w:val="00447E9D"/>
    <w:rsid w:val="00465E12"/>
    <w:rsid w:val="00467823"/>
    <w:rsid w:val="00470305"/>
    <w:rsid w:val="00470E59"/>
    <w:rsid w:val="00492279"/>
    <w:rsid w:val="00493612"/>
    <w:rsid w:val="004C6CAA"/>
    <w:rsid w:val="004D6B34"/>
    <w:rsid w:val="004E1A47"/>
    <w:rsid w:val="0050322A"/>
    <w:rsid w:val="00505B26"/>
    <w:rsid w:val="00520527"/>
    <w:rsid w:val="005267C8"/>
    <w:rsid w:val="00535B30"/>
    <w:rsid w:val="005360F7"/>
    <w:rsid w:val="005449D3"/>
    <w:rsid w:val="005514DD"/>
    <w:rsid w:val="00562B25"/>
    <w:rsid w:val="00570EAA"/>
    <w:rsid w:val="00577138"/>
    <w:rsid w:val="00587F2B"/>
    <w:rsid w:val="005B5BB9"/>
    <w:rsid w:val="005C513C"/>
    <w:rsid w:val="005D55ED"/>
    <w:rsid w:val="005E10A4"/>
    <w:rsid w:val="0061395F"/>
    <w:rsid w:val="00616C66"/>
    <w:rsid w:val="00624C81"/>
    <w:rsid w:val="0063243C"/>
    <w:rsid w:val="00652D2B"/>
    <w:rsid w:val="00656845"/>
    <w:rsid w:val="00664BF8"/>
    <w:rsid w:val="00665C3C"/>
    <w:rsid w:val="00667AE5"/>
    <w:rsid w:val="00670FD2"/>
    <w:rsid w:val="006744B2"/>
    <w:rsid w:val="0067730F"/>
    <w:rsid w:val="0068747F"/>
    <w:rsid w:val="006976D7"/>
    <w:rsid w:val="006C1916"/>
    <w:rsid w:val="006D03E3"/>
    <w:rsid w:val="006D249A"/>
    <w:rsid w:val="006D2C87"/>
    <w:rsid w:val="006D32E0"/>
    <w:rsid w:val="006E0D19"/>
    <w:rsid w:val="006E1039"/>
    <w:rsid w:val="006E7CEC"/>
    <w:rsid w:val="00702FE8"/>
    <w:rsid w:val="00712FFE"/>
    <w:rsid w:val="0074029A"/>
    <w:rsid w:val="00750F7B"/>
    <w:rsid w:val="00751440"/>
    <w:rsid w:val="00756B30"/>
    <w:rsid w:val="00757E7C"/>
    <w:rsid w:val="0076300D"/>
    <w:rsid w:val="0076345A"/>
    <w:rsid w:val="00767E73"/>
    <w:rsid w:val="00787B23"/>
    <w:rsid w:val="007C1A4D"/>
    <w:rsid w:val="007D749D"/>
    <w:rsid w:val="007E2581"/>
    <w:rsid w:val="007F22BD"/>
    <w:rsid w:val="007F2B0E"/>
    <w:rsid w:val="00801280"/>
    <w:rsid w:val="0081100E"/>
    <w:rsid w:val="0081161A"/>
    <w:rsid w:val="00821602"/>
    <w:rsid w:val="008245C8"/>
    <w:rsid w:val="00824A50"/>
    <w:rsid w:val="00825BEC"/>
    <w:rsid w:val="00830004"/>
    <w:rsid w:val="00830F2E"/>
    <w:rsid w:val="00831F98"/>
    <w:rsid w:val="00850A7C"/>
    <w:rsid w:val="0085341C"/>
    <w:rsid w:val="0085517C"/>
    <w:rsid w:val="00855974"/>
    <w:rsid w:val="008652CD"/>
    <w:rsid w:val="008736D7"/>
    <w:rsid w:val="00893363"/>
    <w:rsid w:val="008A6A8B"/>
    <w:rsid w:val="008B165E"/>
    <w:rsid w:val="008B2D43"/>
    <w:rsid w:val="008B3C9B"/>
    <w:rsid w:val="008C0E4B"/>
    <w:rsid w:val="008C5F65"/>
    <w:rsid w:val="008D5CC1"/>
    <w:rsid w:val="008F5DB1"/>
    <w:rsid w:val="00901B00"/>
    <w:rsid w:val="00907348"/>
    <w:rsid w:val="00910DB7"/>
    <w:rsid w:val="0091238A"/>
    <w:rsid w:val="009233F0"/>
    <w:rsid w:val="009436A0"/>
    <w:rsid w:val="00946161"/>
    <w:rsid w:val="009519C7"/>
    <w:rsid w:val="00960C4F"/>
    <w:rsid w:val="00963819"/>
    <w:rsid w:val="0096446D"/>
    <w:rsid w:val="009A4C00"/>
    <w:rsid w:val="009B30E7"/>
    <w:rsid w:val="009B55BE"/>
    <w:rsid w:val="009C0155"/>
    <w:rsid w:val="009C2179"/>
    <w:rsid w:val="009C6AA2"/>
    <w:rsid w:val="009D6C31"/>
    <w:rsid w:val="009F1ECA"/>
    <w:rsid w:val="00A05481"/>
    <w:rsid w:val="00A11174"/>
    <w:rsid w:val="00A149F2"/>
    <w:rsid w:val="00A252B7"/>
    <w:rsid w:val="00A26220"/>
    <w:rsid w:val="00A378C0"/>
    <w:rsid w:val="00A37E5A"/>
    <w:rsid w:val="00A40056"/>
    <w:rsid w:val="00A45791"/>
    <w:rsid w:val="00A513C5"/>
    <w:rsid w:val="00A6485F"/>
    <w:rsid w:val="00A65AA1"/>
    <w:rsid w:val="00A70116"/>
    <w:rsid w:val="00A96AB1"/>
    <w:rsid w:val="00AB6DD2"/>
    <w:rsid w:val="00AC53C1"/>
    <w:rsid w:val="00AD6BB6"/>
    <w:rsid w:val="00AD78D6"/>
    <w:rsid w:val="00AE3832"/>
    <w:rsid w:val="00B14752"/>
    <w:rsid w:val="00B1697A"/>
    <w:rsid w:val="00B2621E"/>
    <w:rsid w:val="00B3084F"/>
    <w:rsid w:val="00B309F7"/>
    <w:rsid w:val="00B35AE3"/>
    <w:rsid w:val="00B368C3"/>
    <w:rsid w:val="00B4425B"/>
    <w:rsid w:val="00B53EAC"/>
    <w:rsid w:val="00B578D0"/>
    <w:rsid w:val="00B73B42"/>
    <w:rsid w:val="00B9659D"/>
    <w:rsid w:val="00BA0F2D"/>
    <w:rsid w:val="00BA370B"/>
    <w:rsid w:val="00BA68BB"/>
    <w:rsid w:val="00BB2181"/>
    <w:rsid w:val="00BB230B"/>
    <w:rsid w:val="00BC2CAE"/>
    <w:rsid w:val="00BD2D3B"/>
    <w:rsid w:val="00BD5C30"/>
    <w:rsid w:val="00BE51B6"/>
    <w:rsid w:val="00BF00F0"/>
    <w:rsid w:val="00C00403"/>
    <w:rsid w:val="00C01B97"/>
    <w:rsid w:val="00C1169B"/>
    <w:rsid w:val="00C14A76"/>
    <w:rsid w:val="00C235B7"/>
    <w:rsid w:val="00C26D9D"/>
    <w:rsid w:val="00C30FCD"/>
    <w:rsid w:val="00C3754A"/>
    <w:rsid w:val="00C63C0B"/>
    <w:rsid w:val="00C65756"/>
    <w:rsid w:val="00C94B6F"/>
    <w:rsid w:val="00C97BB0"/>
    <w:rsid w:val="00CB44A9"/>
    <w:rsid w:val="00CC20DD"/>
    <w:rsid w:val="00CD2F86"/>
    <w:rsid w:val="00CF163B"/>
    <w:rsid w:val="00CF17D7"/>
    <w:rsid w:val="00CF3469"/>
    <w:rsid w:val="00D07D5C"/>
    <w:rsid w:val="00D100F3"/>
    <w:rsid w:val="00D136E3"/>
    <w:rsid w:val="00D1605A"/>
    <w:rsid w:val="00D50444"/>
    <w:rsid w:val="00D53685"/>
    <w:rsid w:val="00D74182"/>
    <w:rsid w:val="00D822A7"/>
    <w:rsid w:val="00D823F9"/>
    <w:rsid w:val="00D827F7"/>
    <w:rsid w:val="00D87BB3"/>
    <w:rsid w:val="00DC16A7"/>
    <w:rsid w:val="00DC38C8"/>
    <w:rsid w:val="00DC7C38"/>
    <w:rsid w:val="00DD0FE5"/>
    <w:rsid w:val="00DD1BD8"/>
    <w:rsid w:val="00DD2F8F"/>
    <w:rsid w:val="00DD6132"/>
    <w:rsid w:val="00DD6F4C"/>
    <w:rsid w:val="00DE10B8"/>
    <w:rsid w:val="00DE5A51"/>
    <w:rsid w:val="00DF18C9"/>
    <w:rsid w:val="00E03201"/>
    <w:rsid w:val="00E2304E"/>
    <w:rsid w:val="00E26626"/>
    <w:rsid w:val="00E3093B"/>
    <w:rsid w:val="00E366A7"/>
    <w:rsid w:val="00E37B55"/>
    <w:rsid w:val="00E5456C"/>
    <w:rsid w:val="00E55811"/>
    <w:rsid w:val="00E60F0A"/>
    <w:rsid w:val="00E65389"/>
    <w:rsid w:val="00E66D21"/>
    <w:rsid w:val="00E73759"/>
    <w:rsid w:val="00E909BA"/>
    <w:rsid w:val="00E96897"/>
    <w:rsid w:val="00E97837"/>
    <w:rsid w:val="00EA22A9"/>
    <w:rsid w:val="00EA23E2"/>
    <w:rsid w:val="00EA3AAC"/>
    <w:rsid w:val="00EB1D6A"/>
    <w:rsid w:val="00EB60F2"/>
    <w:rsid w:val="00EC19E9"/>
    <w:rsid w:val="00EC5811"/>
    <w:rsid w:val="00F06CD5"/>
    <w:rsid w:val="00F10297"/>
    <w:rsid w:val="00F22E42"/>
    <w:rsid w:val="00F30D3F"/>
    <w:rsid w:val="00F3600F"/>
    <w:rsid w:val="00F37A4E"/>
    <w:rsid w:val="00F46065"/>
    <w:rsid w:val="00F4793F"/>
    <w:rsid w:val="00F544C8"/>
    <w:rsid w:val="00F60514"/>
    <w:rsid w:val="00F86A19"/>
    <w:rsid w:val="00F914AA"/>
    <w:rsid w:val="00FA4E6F"/>
    <w:rsid w:val="00FB1402"/>
    <w:rsid w:val="00FC2C1B"/>
    <w:rsid w:val="00FD0BFE"/>
    <w:rsid w:val="00FD2586"/>
    <w:rsid w:val="00FE1B73"/>
    <w:rsid w:val="00FE68A9"/>
    <w:rsid w:val="00FE6CE7"/>
  </w:rsids>
  <m:mathPr>
    <m:mathFont m:val="Cambria Math"/>
    <m:brkBin m:val="before"/>
    <m:brkBinSub m:val="--"/>
    <m:smallFrac m:val="0"/>
    <m:dispDef/>
    <m:lMargin m:val="0"/>
    <m:rMargin m:val="0"/>
    <m:defJc m:val="centerGroup"/>
    <m:wrapIndent m:val="1440"/>
    <m:intLim m:val="subSup"/>
    <m:naryLim m:val="undOvr"/>
  </m:mathPr>
  <w:themeFontLang w:val="en-CA"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648FE"/>
  <w15:chartTrackingRefBased/>
  <w15:docId w15:val="{1A95BEFC-2C41-D64F-BAAD-55216E81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EB1D6A"/>
    <w:rPr>
      <w:sz w:val="20"/>
      <w:szCs w:val="20"/>
    </w:rPr>
  </w:style>
  <w:style w:type="character" w:customStyle="1" w:styleId="FootnoteTextChar">
    <w:name w:val="Footnote Text Char"/>
    <w:basedOn w:val="DefaultParagraphFont"/>
    <w:link w:val="FootnoteText"/>
    <w:uiPriority w:val="99"/>
    <w:semiHidden/>
    <w:rsid w:val="00EB1D6A"/>
    <w:rPr>
      <w:sz w:val="20"/>
      <w:szCs w:val="20"/>
    </w:rPr>
  </w:style>
  <w:style w:type="character" w:styleId="FootnoteReference">
    <w:name w:val="footnote reference"/>
    <w:basedOn w:val="DefaultParagraphFont"/>
    <w:uiPriority w:val="99"/>
    <w:semiHidden/>
    <w:unhideWhenUsed/>
    <w:rsid w:val="00EB1D6A"/>
    <w:rPr>
      <w:vertAlign w:val="superscript"/>
    </w:rPr>
  </w:style>
  <w:style w:type="character" w:styleId="Hyperlink">
    <w:name w:val="Hyperlink"/>
    <w:basedOn w:val="DefaultParagraphFont"/>
    <w:uiPriority w:val="99"/>
    <w:unhideWhenUsed/>
    <w:rsid w:val="0010335D"/>
    <w:rPr>
      <w:color w:val="0563C1" w:themeColor="hyperlink"/>
      <w:u w:val="single"/>
    </w:rPr>
  </w:style>
  <w:style w:type="character" w:styleId="UnresolvedMention">
    <w:name w:val="Unresolved Mention"/>
    <w:basedOn w:val="DefaultParagraphFont"/>
    <w:uiPriority w:val="99"/>
    <w:semiHidden/>
    <w:unhideWhenUsed/>
    <w:rsid w:val="0010335D"/>
    <w:rPr>
      <w:color w:val="605E5C"/>
      <w:shd w:val="clear" w:color="auto" w:fill="E1DFDD"/>
    </w:rPr>
  </w:style>
  <w:style w:type="paragraph" w:styleId="Footer">
    <w:name w:val="footer"/>
    <w:basedOn w:val="Normal"/>
    <w:link w:val="FooterChar"/>
    <w:unhideWhenUsed/>
    <w:rsid w:val="00B53EAC"/>
    <w:pPr>
      <w:tabs>
        <w:tab w:val="center" w:pos="4680"/>
        <w:tab w:val="right" w:pos="9360"/>
      </w:tabs>
    </w:pPr>
  </w:style>
  <w:style w:type="character" w:customStyle="1" w:styleId="FooterChar">
    <w:name w:val="Footer Char"/>
    <w:basedOn w:val="DefaultParagraphFont"/>
    <w:link w:val="Footer"/>
    <w:rsid w:val="00B53EAC"/>
  </w:style>
  <w:style w:type="character" w:styleId="PageNumber">
    <w:name w:val="page number"/>
    <w:basedOn w:val="DefaultParagraphFont"/>
    <w:uiPriority w:val="99"/>
    <w:semiHidden/>
    <w:unhideWhenUsed/>
    <w:rsid w:val="00B53EAC"/>
  </w:style>
  <w:style w:type="paragraph" w:styleId="ListParagraph">
    <w:name w:val="List Paragraph"/>
    <w:basedOn w:val="Normal"/>
    <w:uiPriority w:val="34"/>
    <w:qFormat/>
    <w:rsid w:val="006E1039"/>
    <w:pPr>
      <w:ind w:left="720"/>
      <w:contextualSpacing/>
    </w:pPr>
  </w:style>
  <w:style w:type="paragraph" w:styleId="Revision">
    <w:name w:val="Revision"/>
    <w:hidden/>
    <w:uiPriority w:val="99"/>
    <w:semiHidden/>
    <w:rsid w:val="0030124E"/>
  </w:style>
  <w:style w:type="paragraph" w:styleId="Header">
    <w:name w:val="header"/>
    <w:basedOn w:val="Normal"/>
    <w:link w:val="HeaderChar"/>
    <w:uiPriority w:val="99"/>
    <w:unhideWhenUsed/>
    <w:rsid w:val="00F22E42"/>
    <w:pPr>
      <w:tabs>
        <w:tab w:val="center" w:pos="4680"/>
        <w:tab w:val="right" w:pos="9360"/>
      </w:tabs>
    </w:pPr>
  </w:style>
  <w:style w:type="character" w:customStyle="1" w:styleId="HeaderChar">
    <w:name w:val="Header Char"/>
    <w:basedOn w:val="DefaultParagraphFont"/>
    <w:link w:val="Header"/>
    <w:uiPriority w:val="99"/>
    <w:rsid w:val="00F22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43325">
      <w:bodyDiv w:val="1"/>
      <w:marLeft w:val="0"/>
      <w:marRight w:val="0"/>
      <w:marTop w:val="0"/>
      <w:marBottom w:val="0"/>
      <w:divBdr>
        <w:top w:val="none" w:sz="0" w:space="0" w:color="auto"/>
        <w:left w:val="none" w:sz="0" w:space="0" w:color="auto"/>
        <w:bottom w:val="none" w:sz="0" w:space="0" w:color="auto"/>
        <w:right w:val="none" w:sz="0" w:space="0" w:color="auto"/>
      </w:divBdr>
    </w:div>
    <w:div w:id="519201408">
      <w:bodyDiv w:val="1"/>
      <w:marLeft w:val="0"/>
      <w:marRight w:val="0"/>
      <w:marTop w:val="0"/>
      <w:marBottom w:val="0"/>
      <w:divBdr>
        <w:top w:val="none" w:sz="0" w:space="0" w:color="auto"/>
        <w:left w:val="none" w:sz="0" w:space="0" w:color="auto"/>
        <w:bottom w:val="none" w:sz="0" w:space="0" w:color="auto"/>
        <w:right w:val="none" w:sz="0" w:space="0" w:color="auto"/>
      </w:divBdr>
    </w:div>
    <w:div w:id="700469921">
      <w:bodyDiv w:val="1"/>
      <w:marLeft w:val="0"/>
      <w:marRight w:val="0"/>
      <w:marTop w:val="0"/>
      <w:marBottom w:val="0"/>
      <w:divBdr>
        <w:top w:val="none" w:sz="0" w:space="0" w:color="auto"/>
        <w:left w:val="none" w:sz="0" w:space="0" w:color="auto"/>
        <w:bottom w:val="none" w:sz="0" w:space="0" w:color="auto"/>
        <w:right w:val="none" w:sz="0" w:space="0" w:color="auto"/>
      </w:divBdr>
    </w:div>
    <w:div w:id="705569064">
      <w:bodyDiv w:val="1"/>
      <w:marLeft w:val="0"/>
      <w:marRight w:val="0"/>
      <w:marTop w:val="0"/>
      <w:marBottom w:val="0"/>
      <w:divBdr>
        <w:top w:val="none" w:sz="0" w:space="0" w:color="auto"/>
        <w:left w:val="none" w:sz="0" w:space="0" w:color="auto"/>
        <w:bottom w:val="none" w:sz="0" w:space="0" w:color="auto"/>
        <w:right w:val="none" w:sz="0" w:space="0" w:color="auto"/>
      </w:divBdr>
    </w:div>
    <w:div w:id="1247038958">
      <w:bodyDiv w:val="1"/>
      <w:marLeft w:val="0"/>
      <w:marRight w:val="0"/>
      <w:marTop w:val="0"/>
      <w:marBottom w:val="0"/>
      <w:divBdr>
        <w:top w:val="none" w:sz="0" w:space="0" w:color="auto"/>
        <w:left w:val="none" w:sz="0" w:space="0" w:color="auto"/>
        <w:bottom w:val="none" w:sz="0" w:space="0" w:color="auto"/>
        <w:right w:val="none" w:sz="0" w:space="0" w:color="auto"/>
      </w:divBdr>
    </w:div>
    <w:div w:id="1486121186">
      <w:bodyDiv w:val="1"/>
      <w:marLeft w:val="0"/>
      <w:marRight w:val="0"/>
      <w:marTop w:val="0"/>
      <w:marBottom w:val="0"/>
      <w:divBdr>
        <w:top w:val="none" w:sz="0" w:space="0" w:color="auto"/>
        <w:left w:val="none" w:sz="0" w:space="0" w:color="auto"/>
        <w:bottom w:val="none" w:sz="0" w:space="0" w:color="auto"/>
        <w:right w:val="none" w:sz="0" w:space="0" w:color="auto"/>
      </w:divBdr>
    </w:div>
    <w:div w:id="1512642452">
      <w:bodyDiv w:val="1"/>
      <w:marLeft w:val="0"/>
      <w:marRight w:val="0"/>
      <w:marTop w:val="0"/>
      <w:marBottom w:val="0"/>
      <w:divBdr>
        <w:top w:val="none" w:sz="0" w:space="0" w:color="auto"/>
        <w:left w:val="none" w:sz="0" w:space="0" w:color="auto"/>
        <w:bottom w:val="none" w:sz="0" w:space="0" w:color="auto"/>
        <w:right w:val="none" w:sz="0" w:space="0" w:color="auto"/>
      </w:divBdr>
    </w:div>
    <w:div w:id="1553493594">
      <w:bodyDiv w:val="1"/>
      <w:marLeft w:val="0"/>
      <w:marRight w:val="0"/>
      <w:marTop w:val="0"/>
      <w:marBottom w:val="0"/>
      <w:divBdr>
        <w:top w:val="none" w:sz="0" w:space="0" w:color="auto"/>
        <w:left w:val="none" w:sz="0" w:space="0" w:color="auto"/>
        <w:bottom w:val="none" w:sz="0" w:space="0" w:color="auto"/>
        <w:right w:val="none" w:sz="0" w:space="0" w:color="auto"/>
      </w:divBdr>
    </w:div>
    <w:div w:id="1673600897">
      <w:bodyDiv w:val="1"/>
      <w:marLeft w:val="0"/>
      <w:marRight w:val="0"/>
      <w:marTop w:val="0"/>
      <w:marBottom w:val="0"/>
      <w:divBdr>
        <w:top w:val="none" w:sz="0" w:space="0" w:color="auto"/>
        <w:left w:val="none" w:sz="0" w:space="0" w:color="auto"/>
        <w:bottom w:val="none" w:sz="0" w:space="0" w:color="auto"/>
        <w:right w:val="none" w:sz="0" w:space="0" w:color="auto"/>
      </w:divBdr>
    </w:div>
    <w:div w:id="1688368917">
      <w:bodyDiv w:val="1"/>
      <w:marLeft w:val="0"/>
      <w:marRight w:val="0"/>
      <w:marTop w:val="0"/>
      <w:marBottom w:val="0"/>
      <w:divBdr>
        <w:top w:val="none" w:sz="0" w:space="0" w:color="auto"/>
        <w:left w:val="none" w:sz="0" w:space="0" w:color="auto"/>
        <w:bottom w:val="none" w:sz="0" w:space="0" w:color="auto"/>
        <w:right w:val="none" w:sz="0" w:space="0" w:color="auto"/>
      </w:divBdr>
    </w:div>
    <w:div w:id="1688487489">
      <w:bodyDiv w:val="1"/>
      <w:marLeft w:val="0"/>
      <w:marRight w:val="0"/>
      <w:marTop w:val="0"/>
      <w:marBottom w:val="0"/>
      <w:divBdr>
        <w:top w:val="none" w:sz="0" w:space="0" w:color="auto"/>
        <w:left w:val="none" w:sz="0" w:space="0" w:color="auto"/>
        <w:bottom w:val="none" w:sz="0" w:space="0" w:color="auto"/>
        <w:right w:val="none" w:sz="0" w:space="0" w:color="auto"/>
      </w:divBdr>
    </w:div>
    <w:div w:id="1694988021">
      <w:bodyDiv w:val="1"/>
      <w:marLeft w:val="0"/>
      <w:marRight w:val="0"/>
      <w:marTop w:val="0"/>
      <w:marBottom w:val="0"/>
      <w:divBdr>
        <w:top w:val="none" w:sz="0" w:space="0" w:color="auto"/>
        <w:left w:val="none" w:sz="0" w:space="0" w:color="auto"/>
        <w:bottom w:val="none" w:sz="0" w:space="0" w:color="auto"/>
        <w:right w:val="none" w:sz="0" w:space="0" w:color="auto"/>
      </w:divBdr>
    </w:div>
    <w:div w:id="1789155965">
      <w:bodyDiv w:val="1"/>
      <w:marLeft w:val="0"/>
      <w:marRight w:val="0"/>
      <w:marTop w:val="0"/>
      <w:marBottom w:val="0"/>
      <w:divBdr>
        <w:top w:val="none" w:sz="0" w:space="0" w:color="auto"/>
        <w:left w:val="none" w:sz="0" w:space="0" w:color="auto"/>
        <w:bottom w:val="none" w:sz="0" w:space="0" w:color="auto"/>
        <w:right w:val="none" w:sz="0" w:space="0" w:color="auto"/>
      </w:divBdr>
    </w:div>
    <w:div w:id="193201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7_40/default/table?lang=en" TargetMode="External"/><Relationship Id="rId2" Type="http://schemas.openxmlformats.org/officeDocument/2006/relationships/hyperlink" Target="https://ec.europa.eu/eurostat/databrowser/view/sdg_07_60/default/table?lang=en" TargetMode="External"/><Relationship Id="rId1" Type="http://schemas.openxmlformats.org/officeDocument/2006/relationships/hyperlink" Target="http://dezvoltaredurabila.gov.ro/web/wp-content/uploads/2020/10/Strategia-nationala-pentru-dezvoltarea-durabila-a-Romaniei-2030_00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719</TotalTime>
  <Pages>30</Pages>
  <Words>4077</Words>
  <Characters>23242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Radu Nicolae</cp:lastModifiedBy>
  <cp:revision>349</cp:revision>
  <dcterms:created xsi:type="dcterms:W3CDTF">2021-03-02T00:15:00Z</dcterms:created>
  <dcterms:modified xsi:type="dcterms:W3CDTF">2022-09-01T06:51:00Z</dcterms:modified>
</cp:coreProperties>
</file>