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8E1" w:rsidRPr="00394B2C" w:rsidRDefault="00B978E1" w:rsidP="00394B2C">
      <w:pPr>
        <w:widowControl w:val="0"/>
        <w:spacing w:after="0" w:line="360" w:lineRule="auto"/>
        <w:jc w:val="center"/>
        <w:rPr>
          <w:rFonts w:ascii="Trebuchet MS" w:hAnsi="Trebuchet MS" w:cs="Arial"/>
          <w:bCs/>
          <w:sz w:val="32"/>
          <w:szCs w:val="32"/>
          <w:lang w:val="ro-RO" w:eastAsia="ru-RU"/>
        </w:rPr>
      </w:pPr>
      <w:r w:rsidRPr="00394B2C">
        <w:rPr>
          <w:rFonts w:ascii="Trebuchet MS" w:hAnsi="Trebuchet MS" w:cs="Arial"/>
          <w:bCs/>
          <w:sz w:val="32"/>
          <w:szCs w:val="32"/>
          <w:lang w:val="ro-RO" w:eastAsia="ru-RU"/>
        </w:rPr>
        <w:t>“R o m â n i a   D u r a b i l ă”   ( S I P O C A   6 1 3 )</w:t>
      </w:r>
    </w:p>
    <w:p w:rsidR="00B978E1" w:rsidRPr="00394B2C" w:rsidRDefault="00B978E1" w:rsidP="00394B2C">
      <w:pPr>
        <w:widowControl w:val="0"/>
        <w:spacing w:after="0" w:line="360" w:lineRule="auto"/>
        <w:jc w:val="center"/>
        <w:rPr>
          <w:rFonts w:ascii="Trebuchet MS" w:hAnsi="Trebuchet MS" w:cs="Arial"/>
          <w:bCs/>
          <w:sz w:val="40"/>
          <w:szCs w:val="40"/>
          <w:lang w:val="ro-RO" w:eastAsia="ru-RU"/>
        </w:rPr>
      </w:pPr>
      <w:r w:rsidRPr="00394B2C">
        <w:rPr>
          <w:rFonts w:ascii="Trebuchet MS" w:hAnsi="Trebuchet MS" w:cs="Arial"/>
          <w:bCs/>
          <w:sz w:val="40"/>
          <w:szCs w:val="40"/>
          <w:lang w:val="ro-RO" w:eastAsia="ru-RU"/>
        </w:rPr>
        <w:t>Valul de cercetare sociologică RD12</w:t>
      </w:r>
    </w:p>
    <w:p w:rsidR="00B978E1" w:rsidRPr="00394B2C" w:rsidRDefault="00B978E1" w:rsidP="00394B2C">
      <w:pPr>
        <w:widowControl w:val="0"/>
        <w:spacing w:after="0" w:line="360" w:lineRule="auto"/>
        <w:jc w:val="center"/>
        <w:rPr>
          <w:rFonts w:ascii="Trebuchet MS" w:hAnsi="Trebuchet MS" w:cs="Arial"/>
          <w:bCs/>
          <w:sz w:val="40"/>
          <w:szCs w:val="40"/>
          <w:lang w:val="ro-RO" w:eastAsia="ru-RU"/>
        </w:rPr>
      </w:pPr>
      <w:r w:rsidRPr="00394B2C">
        <w:rPr>
          <w:rFonts w:ascii="Trebuchet MS" w:hAnsi="Trebuchet MS" w:cs="Arial"/>
          <w:bCs/>
          <w:sz w:val="40"/>
          <w:szCs w:val="40"/>
          <w:lang w:val="ro-RO" w:eastAsia="ru-RU"/>
        </w:rPr>
        <w:t>Determinanții siguranței alimentării cu energie</w:t>
      </w:r>
    </w:p>
    <w:p w:rsidR="00B978E1" w:rsidRPr="00394B2C" w:rsidRDefault="00B978E1" w:rsidP="00394B2C">
      <w:pPr>
        <w:widowControl w:val="0"/>
        <w:spacing w:after="0" w:line="360" w:lineRule="auto"/>
        <w:jc w:val="center"/>
        <w:rPr>
          <w:rFonts w:ascii="Trebuchet MS" w:hAnsi="Trebuchet MS" w:cs="Arial"/>
          <w:bCs/>
          <w:sz w:val="32"/>
          <w:szCs w:val="40"/>
          <w:lang w:val="ro-RO" w:eastAsia="ru-RU"/>
        </w:rPr>
      </w:pPr>
      <w:r w:rsidRPr="00394B2C">
        <w:rPr>
          <w:rFonts w:ascii="Trebuchet MS" w:hAnsi="Trebuchet MS" w:cs="Arial"/>
          <w:bCs/>
          <w:sz w:val="32"/>
          <w:szCs w:val="40"/>
          <w:lang w:val="ro-RO" w:eastAsia="ru-RU"/>
        </w:rPr>
        <w:t>Livrabil</w:t>
      </w:r>
    </w:p>
    <w:p w:rsidR="00B978E1" w:rsidRPr="00394B2C" w:rsidRDefault="00B978E1" w:rsidP="00394B2C">
      <w:pPr>
        <w:widowControl w:val="0"/>
        <w:spacing w:after="0" w:line="360" w:lineRule="auto"/>
        <w:jc w:val="center"/>
        <w:rPr>
          <w:rFonts w:ascii="Trebuchet MS" w:hAnsi="Trebuchet MS" w:cs="Arial"/>
          <w:bCs/>
          <w:sz w:val="32"/>
          <w:szCs w:val="40"/>
          <w:lang w:val="ro-RO" w:eastAsia="ro-RO"/>
        </w:rPr>
      </w:pPr>
      <w:r w:rsidRPr="00394B2C">
        <w:rPr>
          <w:rFonts w:ascii="Trebuchet MS" w:hAnsi="Trebuchet MS" w:cs="Arial"/>
          <w:bCs/>
          <w:sz w:val="32"/>
          <w:szCs w:val="40"/>
          <w:lang w:val="ro-RO" w:eastAsia="ru-RU"/>
        </w:rPr>
        <w:t>luna februarie 2021</w:t>
      </w:r>
    </w:p>
    <w:p w:rsidR="00B978E1" w:rsidRPr="00394B2C" w:rsidRDefault="00B978E1" w:rsidP="00394B2C">
      <w:pPr>
        <w:widowControl w:val="0"/>
        <w:spacing w:after="0" w:line="360" w:lineRule="auto"/>
        <w:jc w:val="center"/>
        <w:rPr>
          <w:rFonts w:ascii="Trebuchet MS" w:hAnsi="Trebuchet MS"/>
          <w:sz w:val="24"/>
          <w:szCs w:val="24"/>
          <w:lang w:val="ro-RO"/>
        </w:rPr>
      </w:pPr>
    </w:p>
    <w:p w:rsidR="00B978E1" w:rsidRPr="00394B2C" w:rsidRDefault="00B978E1" w:rsidP="00394B2C">
      <w:pPr>
        <w:widowControl w:val="0"/>
        <w:spacing w:after="0" w:line="360" w:lineRule="auto"/>
        <w:jc w:val="center"/>
        <w:rPr>
          <w:rFonts w:ascii="Trebuchet MS" w:hAnsi="Trebuchet MS"/>
          <w:sz w:val="24"/>
          <w:szCs w:val="24"/>
          <w:lang w:val="ro-RO"/>
        </w:rPr>
      </w:pPr>
    </w:p>
    <w:p w:rsidR="00B978E1" w:rsidRPr="00394B2C" w:rsidRDefault="00B978E1" w:rsidP="00394B2C">
      <w:pPr>
        <w:widowControl w:val="0"/>
        <w:spacing w:after="0" w:line="360" w:lineRule="auto"/>
        <w:ind w:left="360"/>
        <w:jc w:val="both"/>
        <w:rPr>
          <w:rFonts w:ascii="Trebuchet MS" w:hAnsi="Trebuchet MS"/>
          <w:b/>
          <w:bCs/>
          <w:lang w:val="ro-RO"/>
        </w:rPr>
      </w:pPr>
      <w:r w:rsidRPr="00394B2C">
        <w:rPr>
          <w:rFonts w:ascii="Trebuchet MS" w:hAnsi="Trebuchet MS"/>
          <w:b/>
          <w:bCs/>
          <w:lang w:val="ro-RO"/>
        </w:rPr>
        <w:t>ACTIVITATEA A9</w:t>
      </w:r>
    </w:p>
    <w:p w:rsidR="00B978E1" w:rsidRPr="00394B2C" w:rsidRDefault="00B978E1" w:rsidP="00394B2C">
      <w:pPr>
        <w:widowControl w:val="0"/>
        <w:spacing w:after="0" w:line="360" w:lineRule="auto"/>
        <w:ind w:left="360"/>
        <w:jc w:val="both"/>
        <w:rPr>
          <w:rFonts w:ascii="Trebuchet MS" w:hAnsi="Trebuchet MS"/>
          <w:b/>
          <w:bCs/>
          <w:lang w:val="ro-RO"/>
        </w:rPr>
      </w:pPr>
      <w:r w:rsidRPr="00394B2C">
        <w:rPr>
          <w:rFonts w:ascii="Trebuchet MS" w:hAnsi="Trebuchet MS"/>
          <w:b/>
          <w:bCs/>
          <w:lang w:val="ro-RO"/>
        </w:rPr>
        <w:t xml:space="preserve">Elaborarea a minim 50 de barometre de opinie periodice realizate prin </w:t>
      </w:r>
      <w:r w:rsidRPr="00394B2C">
        <w:rPr>
          <w:rFonts w:ascii="Trebuchet MS" w:hAnsi="Trebuchet MS"/>
          <w:b/>
          <w:bCs/>
          <w:lang w:val="ro-RO"/>
        </w:rPr>
        <w:br/>
        <w:t xml:space="preserve">sondarea percepției publice si dezvoltarea unor module pentru analize mixte – </w:t>
      </w:r>
      <w:r w:rsidRPr="00394B2C">
        <w:rPr>
          <w:rFonts w:ascii="Trebuchet MS" w:hAnsi="Trebuchet MS"/>
          <w:b/>
          <w:bCs/>
          <w:lang w:val="ro-RO"/>
        </w:rPr>
        <w:br/>
        <w:t>combinații de indicatori hard si indicatori noi</w:t>
      </w:r>
    </w:p>
    <w:p w:rsidR="00B978E1" w:rsidRPr="00394B2C" w:rsidRDefault="00B978E1" w:rsidP="00394B2C">
      <w:pPr>
        <w:widowControl w:val="0"/>
        <w:spacing w:after="0" w:line="360" w:lineRule="auto"/>
        <w:ind w:left="360"/>
        <w:rPr>
          <w:rFonts w:ascii="Trebuchet MS" w:hAnsi="Trebuchet MS"/>
          <w:bCs/>
          <w:lang w:val="ro-RO"/>
        </w:rPr>
      </w:pPr>
      <w:r w:rsidRPr="00394B2C">
        <w:rPr>
          <w:rFonts w:ascii="Trebuchet MS" w:hAnsi="Trebuchet MS"/>
          <w:bCs/>
          <w:lang w:val="ro-RO"/>
        </w:rPr>
        <w:t>SUBACTIVITATEA A9.2. Elaborarea periodică a unei lucrări narative de prezentare și informare bazată pe materialele de tip flash – news.</w:t>
      </w:r>
    </w:p>
    <w:p w:rsidR="00B978E1" w:rsidRPr="00394B2C" w:rsidRDefault="00B978E1" w:rsidP="00394B2C">
      <w:pPr>
        <w:widowControl w:val="0"/>
        <w:spacing w:after="0" w:line="360" w:lineRule="auto"/>
        <w:rPr>
          <w:rFonts w:ascii="Trebuchet MS" w:hAnsi="Trebuchet MS"/>
          <w:b/>
          <w:bCs/>
          <w:lang w:val="ro-RO"/>
        </w:rPr>
      </w:pPr>
    </w:p>
    <w:p w:rsidR="00B978E1" w:rsidRPr="00394B2C" w:rsidRDefault="00B978E1" w:rsidP="00394B2C">
      <w:pPr>
        <w:widowControl w:val="0"/>
        <w:spacing w:after="0" w:line="360" w:lineRule="auto"/>
        <w:rPr>
          <w:rFonts w:ascii="Trebuchet MS" w:hAnsi="Trebuchet MS"/>
          <w:lang w:val="ro-RO"/>
        </w:rPr>
      </w:pPr>
      <w:r w:rsidRPr="00394B2C">
        <w:rPr>
          <w:rFonts w:ascii="Trebuchet MS" w:hAnsi="Trebuchet MS"/>
          <w:b/>
          <w:bCs/>
          <w:lang w:val="ro-RO"/>
        </w:rPr>
        <w:t xml:space="preserve">Elaborat de: </w:t>
      </w:r>
      <w:r w:rsidRPr="00394B2C">
        <w:rPr>
          <w:rFonts w:ascii="Trebuchet MS" w:hAnsi="Trebuchet MS"/>
          <w:lang w:val="ro-RO"/>
        </w:rPr>
        <w:t>Costin Ciobanu, Expert analiză indicatori subiectivi de tip economic</w:t>
      </w:r>
    </w:p>
    <w:p w:rsidR="00B978E1" w:rsidRPr="00394B2C" w:rsidRDefault="00B978E1" w:rsidP="00394B2C">
      <w:pPr>
        <w:widowControl w:val="0"/>
        <w:spacing w:after="0" w:line="360" w:lineRule="auto"/>
        <w:rPr>
          <w:rFonts w:ascii="Trebuchet MS" w:hAnsi="Trebuchet MS"/>
          <w:lang w:val="ro-RO"/>
        </w:rPr>
      </w:pPr>
      <w:r w:rsidRPr="00394B2C">
        <w:rPr>
          <w:rFonts w:ascii="Trebuchet MS" w:hAnsi="Trebuchet MS"/>
          <w:lang w:val="ro-RO"/>
        </w:rPr>
        <w:t xml:space="preserve">Data: </w:t>
      </w:r>
      <w:r w:rsidRPr="00394B2C">
        <w:rPr>
          <w:rFonts w:ascii="Trebuchet MS" w:hAnsi="Trebuchet MS"/>
          <w:lang w:val="ro-RO"/>
        </w:rPr>
        <w:tab/>
      </w:r>
      <w:r w:rsidRPr="00394B2C">
        <w:rPr>
          <w:rFonts w:ascii="Trebuchet MS" w:hAnsi="Trebuchet MS"/>
          <w:lang w:val="ro-RO"/>
        </w:rPr>
        <w:tab/>
      </w:r>
      <w:r w:rsidRPr="00394B2C">
        <w:rPr>
          <w:rFonts w:ascii="Trebuchet MS" w:hAnsi="Trebuchet MS"/>
          <w:lang w:val="ro-RO"/>
        </w:rPr>
        <w:tab/>
        <w:t>28/02/2021</w:t>
      </w:r>
    </w:p>
    <w:p w:rsidR="00B978E1" w:rsidRPr="00394B2C" w:rsidRDefault="00B978E1" w:rsidP="00394B2C">
      <w:pPr>
        <w:widowControl w:val="0"/>
        <w:spacing w:after="0" w:line="360" w:lineRule="auto"/>
        <w:rPr>
          <w:rFonts w:ascii="Trebuchet MS" w:hAnsi="Trebuchet MS"/>
          <w:lang w:val="ro-RO"/>
        </w:rPr>
      </w:pPr>
      <w:r w:rsidRPr="00394B2C">
        <w:rPr>
          <w:rFonts w:ascii="Trebuchet MS" w:hAnsi="Trebuchet MS"/>
          <w:lang w:val="ro-RO"/>
        </w:rPr>
        <w:t>Locul de desfășurare: București</w:t>
      </w:r>
    </w:p>
    <w:p w:rsidR="00B978E1" w:rsidRPr="00394B2C" w:rsidRDefault="00B978E1" w:rsidP="00394B2C">
      <w:pPr>
        <w:widowControl w:val="0"/>
        <w:spacing w:after="0" w:line="360" w:lineRule="auto"/>
        <w:rPr>
          <w:rFonts w:ascii="Trebuchet MS" w:hAnsi="Trebuchet MS"/>
          <w:lang w:val="ro-RO"/>
        </w:rPr>
      </w:pPr>
      <w:r w:rsidRPr="00394B2C">
        <w:rPr>
          <w:rFonts w:ascii="Trebuchet MS" w:hAnsi="Trebuchet MS"/>
          <w:lang w:val="ro-RO"/>
        </w:rPr>
        <w:t xml:space="preserve">Denumire proiect: </w:t>
      </w:r>
      <w:r w:rsidRPr="00394B2C">
        <w:rPr>
          <w:rFonts w:ascii="Trebuchet MS" w:hAnsi="Trebuchet MS"/>
          <w:lang w:val="ro-RO"/>
        </w:rPr>
        <w:tab/>
        <w:t>“România durabilă” - Dezvoltarea cadrului strategic</w:t>
      </w:r>
      <w:r w:rsidRPr="00394B2C">
        <w:rPr>
          <w:rFonts w:ascii="Trebuchet MS" w:hAnsi="Trebuchet MS"/>
          <w:lang w:val="ro-RO"/>
        </w:rPr>
        <w:br/>
        <w:t xml:space="preserve"> </w:t>
      </w:r>
      <w:r w:rsidRPr="00394B2C">
        <w:rPr>
          <w:rFonts w:ascii="Trebuchet MS" w:hAnsi="Trebuchet MS"/>
          <w:lang w:val="ro-RO"/>
        </w:rPr>
        <w:tab/>
      </w:r>
      <w:r w:rsidRPr="00394B2C">
        <w:rPr>
          <w:rFonts w:ascii="Trebuchet MS" w:hAnsi="Trebuchet MS"/>
          <w:lang w:val="ro-RO"/>
        </w:rPr>
        <w:tab/>
      </w:r>
      <w:r w:rsidRPr="00394B2C">
        <w:rPr>
          <w:rFonts w:ascii="Trebuchet MS" w:hAnsi="Trebuchet MS"/>
          <w:lang w:val="ro-RO"/>
        </w:rPr>
        <w:tab/>
        <w:t>și instituț</w:t>
      </w:r>
      <w:r>
        <w:rPr>
          <w:rFonts w:ascii="Trebuchet MS" w:hAnsi="Trebuchet MS"/>
          <w:lang w:val="ro-RO"/>
        </w:rPr>
        <w:t xml:space="preserve">ional pentru implementarea </w:t>
      </w:r>
      <w:r w:rsidRPr="00394B2C">
        <w:rPr>
          <w:rFonts w:ascii="Trebuchet MS" w:hAnsi="Trebuchet MS"/>
          <w:lang w:val="ro-RO"/>
        </w:rPr>
        <w:t xml:space="preserve">Strategiei Naționale </w:t>
      </w:r>
      <w:r>
        <w:rPr>
          <w:rFonts w:ascii="Trebuchet MS" w:hAnsi="Trebuchet MS"/>
          <w:lang w:val="ro-RO"/>
        </w:rPr>
        <w:br/>
      </w:r>
      <w:r>
        <w:rPr>
          <w:rFonts w:ascii="Trebuchet MS" w:hAnsi="Trebuchet MS"/>
          <w:lang w:val="ro-RO"/>
        </w:rPr>
        <w:tab/>
      </w:r>
      <w:r>
        <w:rPr>
          <w:rFonts w:ascii="Trebuchet MS" w:hAnsi="Trebuchet MS"/>
          <w:lang w:val="ro-RO"/>
        </w:rPr>
        <w:tab/>
      </w:r>
      <w:r>
        <w:rPr>
          <w:rFonts w:ascii="Trebuchet MS" w:hAnsi="Trebuchet MS"/>
          <w:lang w:val="ro-RO"/>
        </w:rPr>
        <w:tab/>
      </w:r>
      <w:r w:rsidRPr="00394B2C">
        <w:rPr>
          <w:rFonts w:ascii="Trebuchet MS" w:hAnsi="Trebuchet MS"/>
          <w:lang w:val="ro-RO"/>
        </w:rPr>
        <w:t>pentru Dezvoltarea Durabilă a României 2030”</w:t>
      </w:r>
    </w:p>
    <w:p w:rsidR="00B978E1" w:rsidRPr="00394B2C" w:rsidRDefault="00B978E1" w:rsidP="00394B2C">
      <w:pPr>
        <w:spacing w:after="0" w:line="360" w:lineRule="auto"/>
        <w:jc w:val="both"/>
        <w:rPr>
          <w:rFonts w:ascii="Trebuchet MS" w:hAnsi="Trebuchet MS"/>
          <w:lang w:val="ro-RO"/>
        </w:rPr>
      </w:pPr>
      <w:r w:rsidRPr="00394B2C">
        <w:rPr>
          <w:rFonts w:ascii="Trebuchet MS" w:hAnsi="Trebuchet MS"/>
          <w:lang w:val="ro-RO"/>
        </w:rPr>
        <w:t xml:space="preserve">Cod proiect: </w:t>
      </w:r>
      <w:r w:rsidRPr="00394B2C">
        <w:rPr>
          <w:rFonts w:ascii="Trebuchet MS" w:hAnsi="Trebuchet MS"/>
          <w:lang w:val="ro-RO"/>
        </w:rPr>
        <w:tab/>
      </w:r>
      <w:r>
        <w:rPr>
          <w:rFonts w:ascii="Trebuchet MS" w:hAnsi="Trebuchet MS"/>
          <w:lang w:val="ro-RO"/>
        </w:rPr>
        <w:tab/>
      </w:r>
      <w:r w:rsidRPr="00394B2C">
        <w:rPr>
          <w:rFonts w:ascii="Trebuchet MS" w:hAnsi="Trebuchet MS"/>
          <w:lang w:val="ro-RO"/>
        </w:rPr>
        <w:t>SIPOCA 613</w:t>
      </w:r>
    </w:p>
    <w:p w:rsidR="00B978E1" w:rsidRPr="00394B2C" w:rsidRDefault="00B978E1" w:rsidP="00394B2C">
      <w:pPr>
        <w:widowControl w:val="0"/>
        <w:spacing w:after="0" w:line="360" w:lineRule="auto"/>
        <w:jc w:val="center"/>
        <w:rPr>
          <w:rFonts w:ascii="Trebuchet MS" w:hAnsi="Trebuchet MS"/>
          <w:sz w:val="24"/>
          <w:szCs w:val="24"/>
          <w:lang w:val="ro-RO"/>
        </w:rPr>
      </w:pPr>
    </w:p>
    <w:p w:rsidR="00B978E1" w:rsidRPr="00394B2C" w:rsidRDefault="00B978E1" w:rsidP="00394B2C">
      <w:pPr>
        <w:widowControl w:val="0"/>
        <w:spacing w:after="0" w:line="360" w:lineRule="auto"/>
        <w:jc w:val="center"/>
        <w:rPr>
          <w:rFonts w:ascii="Trebuchet MS" w:hAnsi="Trebuchet MS"/>
          <w:sz w:val="24"/>
          <w:szCs w:val="24"/>
          <w:lang w:val="ro-RO"/>
        </w:rPr>
      </w:pP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b/>
          <w:bCs/>
          <w:sz w:val="24"/>
          <w:szCs w:val="24"/>
          <w:lang w:val="ro-RO"/>
        </w:rPr>
        <w:br w:type="page"/>
      </w:r>
      <w:r w:rsidRPr="00394B2C">
        <w:rPr>
          <w:rFonts w:ascii="Trebuchet MS" w:hAnsi="Trebuchet MS" w:cs="Calibri"/>
          <w:lang w:val="ro-RO"/>
        </w:rPr>
        <w:t>În cadrul Strategiei Naționale pentru Dezvoltarea Durabilă a României 2030</w:t>
      </w:r>
      <w:r w:rsidRPr="00394B2C">
        <w:rPr>
          <w:rStyle w:val="FootnoteReference"/>
          <w:rFonts w:ascii="Trebuchet MS" w:hAnsi="Trebuchet MS" w:cs="Calibri"/>
          <w:lang w:val="ro-RO"/>
        </w:rPr>
        <w:footnoteReference w:id="1"/>
      </w:r>
      <w:r w:rsidRPr="00394B2C">
        <w:rPr>
          <w:rFonts w:ascii="Trebuchet MS" w:hAnsi="Trebuchet MS" w:cs="Calibri"/>
          <w:lang w:val="ro-RO"/>
        </w:rPr>
        <w:t>, România și-a propus, ca ținte pentru anul 2030, câteva obiective ambițioase. Printre acestea se regăsesc: “asigurarea securității cibernetice a platformelor de monitorizare a rețelelor de producție, transport și distribuție a energiei electrice și gazelor naturale”, pentru a face față provocărilor generate de a patra revoluție industrială și de avansul digitalizării; “decuplarea creșterii economice de procesul de epuizare a resurselor și de degradare a mediului prin sporirea considerabilă a eficienței energetice (cu minimum 27% comparativ cu scenariul de status-quo)”, ceea ce s-ar traduce printr-un consum redus de energie și printr-o mai bună productivitate energetică; “creșterea ponderii surselor de energie regenerabilă și a combustibililor cu conținut scăzut de carbon în sectorul transporturilor (autovehicule electrice), inclusiv combustibili alternativi”, ceea ce ar însemna extinderea folosirea energiilor regenerabile în viața de zi cu zi; în fine, “susținerea strategică a ponderii energiei electrice în totalul consumului casnic, industrial și în transporturi prin stabilirea unor norme de performanță pentru instalații și aparatură”, tocmai pentru a reduce impactul asupra mediului.</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Toate aceste teme țin de siguranța alimentării cu energie, iar scopul acestei analize este tocmai de a se concentra pe determinanții siguranței alimentării cu energie. Într-o primă fază, vom căuta să definim situația de fapt, pe baza datelor obiective furnizate de către Eurostat, atât prin prisma evoluției în timp a României, cât și prin comparație cu media europeană sau cu alte țări europene. În faza a doua, vom lăsa datele subiective să vorbească, iar aici ne vom axa pe rezultatele sondajului de opinie RD12</w:t>
      </w:r>
      <w:r w:rsidRPr="00394B2C">
        <w:rPr>
          <w:rStyle w:val="FootnoteReference"/>
          <w:rFonts w:ascii="Trebuchet MS" w:hAnsi="Trebuchet MS" w:cs="Calibri"/>
          <w:lang w:val="ro-RO"/>
        </w:rPr>
        <w:footnoteReference w:id="2"/>
      </w:r>
      <w:r w:rsidRPr="00394B2C">
        <w:rPr>
          <w:rFonts w:ascii="Trebuchet MS" w:hAnsi="Trebuchet MS" w:cs="Calibri"/>
          <w:lang w:val="ro-RO"/>
        </w:rPr>
        <w:t xml:space="preserve"> realizat în cadrul proiectului “România Durabilă”. Atât prin utilizarea statisticilor descriptive, cât și prin modelare statistică, vom căuta să identificăm determinanții acestor evaluări și să discutăm în ce măsură, acolo unde datele disponibile ne permit, există o convergență între aspectele obiective și subiective. Cele două aspecte sunt importante pentru succesul implementării unor politici publice care să favorizeze obiectivele dezvoltării durabile, așa că analiza în tandem devine esențială.</w:t>
      </w:r>
    </w:p>
    <w:p w:rsidR="00B978E1" w:rsidRDefault="00B978E1" w:rsidP="00394B2C">
      <w:pPr>
        <w:spacing w:after="0" w:line="360" w:lineRule="auto"/>
        <w:ind w:firstLine="567"/>
        <w:jc w:val="both"/>
        <w:rPr>
          <w:rFonts w:ascii="Trebuchet MS" w:hAnsi="Trebuchet MS" w:cs="Calibri"/>
          <w:b/>
          <w:bCs/>
          <w:lang w:val="ro-RO"/>
        </w:rPr>
      </w:pPr>
    </w:p>
    <w:p w:rsidR="00B978E1" w:rsidRPr="00394B2C" w:rsidRDefault="00B978E1" w:rsidP="00394B2C">
      <w:pPr>
        <w:spacing w:after="0" w:line="360" w:lineRule="auto"/>
        <w:ind w:firstLine="567"/>
        <w:jc w:val="both"/>
        <w:rPr>
          <w:rFonts w:ascii="Trebuchet MS" w:hAnsi="Trebuchet MS" w:cs="Calibri"/>
          <w:b/>
          <w:bCs/>
          <w:lang w:val="ro-RO"/>
        </w:rPr>
      </w:pPr>
      <w:r w:rsidRPr="00394B2C">
        <w:rPr>
          <w:rFonts w:ascii="Trebuchet MS" w:hAnsi="Trebuchet MS" w:cs="Calibri"/>
          <w:b/>
          <w:bCs/>
          <w:lang w:val="ro-RO"/>
        </w:rPr>
        <w:t>Ce spun datele obiective</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Vom începe prin a ne uita la consumul de energie primară, pe baza indicatorului Eurostat SDG_07_10. Potrivit Eurostat</w:t>
      </w:r>
      <w:r w:rsidRPr="00394B2C">
        <w:rPr>
          <w:rStyle w:val="FootnoteReference"/>
          <w:rFonts w:ascii="Trebuchet MS" w:hAnsi="Trebuchet MS" w:cs="Calibri"/>
          <w:lang w:val="ro-RO"/>
        </w:rPr>
        <w:footnoteReference w:id="3"/>
      </w:r>
      <w:r w:rsidRPr="00394B2C">
        <w:rPr>
          <w:rFonts w:ascii="Trebuchet MS" w:hAnsi="Trebuchet MS" w:cs="Calibri"/>
          <w:lang w:val="ro-RO"/>
        </w:rPr>
        <w:t xml:space="preserve">, consumul de energie primară se referă atât la consumul de energie de către consumatorii finali, cum ar fi industria, sectorul de transport, gospodăriile, serviciile și agricultura, cât și la consumul de energie din sectorul energetic necesar pentru producerea și transformarea energiei, plus pierderile care apar în timpul transformării energiei (care vizează, de exemplu, eficiența energetică) și pierderile de energie realizate la transportul și distribuția acesteia. În analiză, vom avea în vedere două dimensiuni ale indicatorului: 1) comparația cu anul 2005 pentru fiecare țară, care reprezintă 100% - </w:t>
      </w:r>
      <w:r w:rsidRPr="00394B2C">
        <w:rPr>
          <w:rFonts w:ascii="Trebuchet MS" w:hAnsi="Trebuchet MS" w:cs="Calibri"/>
          <w:i/>
          <w:iCs/>
          <w:lang w:val="ro-RO"/>
        </w:rPr>
        <w:t>Figura 1</w:t>
      </w:r>
      <w:r w:rsidRPr="00394B2C">
        <w:rPr>
          <w:rFonts w:ascii="Trebuchet MS" w:hAnsi="Trebuchet MS" w:cs="Calibri"/>
          <w:lang w:val="ro-RO"/>
        </w:rPr>
        <w:t xml:space="preserve">; 2) comparația pe baza consumului de tone echivalent petrol (TOE) per capita, care facilitează comparațiile inter-țări – </w:t>
      </w:r>
      <w:r w:rsidRPr="00394B2C">
        <w:rPr>
          <w:rFonts w:ascii="Trebuchet MS" w:hAnsi="Trebuchet MS" w:cs="Calibri"/>
          <w:i/>
          <w:iCs/>
          <w:lang w:val="ro-RO"/>
        </w:rPr>
        <w:t>Figura 2</w:t>
      </w:r>
      <w:r w:rsidRPr="00394B2C">
        <w:rPr>
          <w:rFonts w:ascii="Trebuchet MS" w:hAnsi="Trebuchet MS" w:cs="Calibri"/>
          <w:lang w:val="ro-RO"/>
        </w:rPr>
        <w:t>.</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i/>
          <w:iCs/>
          <w:lang w:val="ro-RO"/>
        </w:rPr>
        <w:t>Figura 1</w:t>
      </w:r>
      <w:r w:rsidRPr="00394B2C">
        <w:rPr>
          <w:rFonts w:ascii="Trebuchet MS" w:hAnsi="Trebuchet MS" w:cs="Calibri"/>
          <w:lang w:val="ro-RO"/>
        </w:rPr>
        <w:t xml:space="preserve"> arată următoarea situație pentru România: după 2005, pentru trei ani are loc o creștere a consumului de energie primară, după care înregistrăm o scădere accentuată, până la valoarea de 85% în 2016; în ultimii trei ani, observăm o creștere a consumului primar, de exemplu în 2019 suntem la 88,7% din consumul din 2005. În general, ceea ce este important, consumul de energie primară s-a redus în acești 15 ani pe care îi avem în vedere. Același lucru îl vedem și dacă ne uităm la media UE28: consumul de energie primară este la 88,7% față de anul de referință 2005. În acest caz, România are o situație perfect echivalentă cu media europeană. În Germania, tendința se confirmă: consumul de energie primară în 2019 era de 87,9% din valoarea din 2005, deci o performanță de reducere a consumului ușor sub media europeană și a României. Polonia are o evoluție diferită față de România, UE28 și Germania: în 2019, consumul de energie primară era la 111,6% comparativ cu 100% în 2005, ceea ce se traduce printr-o creștere a consumului de energie primară. De altfel, în niciun an din ultimii 15, Polonia nu a fost sub consumul din 2005, ceea ce explică poate în parte reticența acestei țări față de Pactul Ecologic European.</w:t>
      </w:r>
    </w:p>
    <w:p w:rsidR="00B978E1" w:rsidRPr="00394B2C" w:rsidRDefault="00B978E1" w:rsidP="00394B2C">
      <w:pPr>
        <w:spacing w:after="0" w:line="360" w:lineRule="auto"/>
        <w:ind w:firstLine="567"/>
        <w:jc w:val="center"/>
        <w:rPr>
          <w:rFonts w:ascii="Trebuchet MS" w:hAnsi="Trebuchet MS" w:cs="Calibri"/>
          <w:b/>
          <w:bCs/>
          <w:lang w:val="ro-RO"/>
        </w:rPr>
      </w:pPr>
      <w:r>
        <w:rPr>
          <w:rFonts w:ascii="Trebuchet MS" w:hAnsi="Trebuchet MS" w:cs="Calibri"/>
          <w:b/>
          <w:bCs/>
          <w:lang w:val="ro-RO"/>
        </w:rPr>
        <w:br w:type="page"/>
      </w:r>
      <w:r w:rsidRPr="00394B2C">
        <w:rPr>
          <w:rFonts w:ascii="Trebuchet MS" w:hAnsi="Trebuchet MS" w:cs="Calibri"/>
          <w:b/>
          <w:bCs/>
          <w:lang w:val="ro-RO"/>
        </w:rPr>
        <w:t>Figura 1 - Consumul de energie primară (%, UE28, 2000 - 2019)</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403.2pt;height:302.4pt;visibility:visible">
            <v:imagedata r:id="rId7" o:title=""/>
          </v:shape>
        </w:pict>
      </w:r>
    </w:p>
    <w:p w:rsidR="00B978E1" w:rsidRPr="00394B2C" w:rsidRDefault="00B978E1" w:rsidP="00394B2C">
      <w:pPr>
        <w:spacing w:after="0" w:line="360" w:lineRule="auto"/>
        <w:ind w:firstLine="567"/>
        <w:jc w:val="both"/>
        <w:rPr>
          <w:rFonts w:ascii="Trebuchet MS" w:hAnsi="Trebuchet MS" w:cs="Calibri"/>
          <w:b/>
          <w:bCs/>
          <w:lang w:val="ro-RO"/>
        </w:rPr>
      </w:pPr>
      <w:r w:rsidRPr="00394B2C">
        <w:rPr>
          <w:rFonts w:ascii="Trebuchet MS" w:hAnsi="Trebuchet MS" w:cs="Calibri"/>
          <w:b/>
          <w:bCs/>
          <w:lang w:val="ro-RO"/>
        </w:rPr>
        <w:t>Figura 2 - Consumul de energie primară (TOE per capita, UE28, 2000 - 2019)</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 id="Picture 3" o:spid="_x0000_i1028" type="#_x0000_t75" style="width:5in;height:270pt;visibility:visible">
            <v:imagedata r:id="rId8" o:title=""/>
          </v:shape>
        </w:pic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 xml:space="preserve">În </w:t>
      </w:r>
      <w:r w:rsidRPr="00394B2C">
        <w:rPr>
          <w:rFonts w:ascii="Trebuchet MS" w:hAnsi="Trebuchet MS" w:cs="Calibri"/>
          <w:i/>
          <w:iCs/>
          <w:lang w:val="ro-RO"/>
        </w:rPr>
        <w:t>Figura 2</w:t>
      </w:r>
      <w:r w:rsidRPr="00394B2C">
        <w:rPr>
          <w:rFonts w:ascii="Trebuchet MS" w:hAnsi="Trebuchet MS" w:cs="Calibri"/>
          <w:lang w:val="ro-RO"/>
        </w:rPr>
        <w:t>, avem cea de-a doua dimensiune a consumului de energie primară, contorizat în TOE per capita. Pentru România, situația este una relativ constantă pentru ultimii 20 ani: în 2000, eram la 1,6 tone per capita, iar în 2019 eram la aceeași valoare, cu un vârf de 1,8 tone în 2003, 2006, 2007 și 2008. Cu acest consum de energie primară, suntem sub media europeană pentru UE28, care era de 3,3 tone per capita în 2000 și a ajuns la 3 tone în 2019, aproape de două ori mai mult decât în România. În Polonia, în 2019, consumul de energie primară era de 2,6 tone per capita, în timp ce în Germania, în același an, valoarea era peste media UE28, la 3,4 tone per capita. În general, la acest indicator, vedem o stagnare în cazul României, o ușoară scădere pentru UE28 și Germania și o creștere ușoară pentru Polonia.</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Pentru România, pe baza celor doi indicatori, vedem fie o scădere a consumului de energie primară comparativ cu 2005, fie o menținere a consumului de energie primară ca TOE per capita, ceea ce este de consemnat în contextul avansului PIB din ultimii 15 ani. Există, deci, potențialul ca România să dea tonul în Europa la reducerea consumului de energie primară, lucru care poate fi de folos atât mediului, cât și economiei cu condiția creșterii eficienței energetice și a productivității energetice.</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În continuare, ne-am centrat pe consumul de energie finală (indicator Eurostat SDG_07_11), care acoperă numai energia consumată de utilizatorii finali, cum ar fi industria, transporturile, gospodăriile, serviciile și agricultura, excluzând deci consumul de energie din sectorul energetic și pierderile care apar în timpul transformării și distribuției energiei</w:t>
      </w:r>
      <w:r w:rsidRPr="00394B2C">
        <w:rPr>
          <w:rStyle w:val="FootnoteReference"/>
          <w:rFonts w:ascii="Trebuchet MS" w:hAnsi="Trebuchet MS" w:cs="Calibri"/>
          <w:lang w:val="ro-RO"/>
        </w:rPr>
        <w:footnoteReference w:id="4"/>
      </w:r>
      <w:r w:rsidRPr="00394B2C">
        <w:rPr>
          <w:rFonts w:ascii="Trebuchet MS" w:hAnsi="Trebuchet MS" w:cs="Calibri"/>
          <w:lang w:val="ro-RO"/>
        </w:rPr>
        <w:t>. La fel ca în cazul energiei primare, vom opera atât cu comparația cu anul de referință 2005 (</w:t>
      </w:r>
      <w:r w:rsidRPr="00394B2C">
        <w:rPr>
          <w:rFonts w:ascii="Trebuchet MS" w:hAnsi="Trebuchet MS" w:cs="Calibri"/>
          <w:i/>
          <w:iCs/>
          <w:lang w:val="ro-RO"/>
        </w:rPr>
        <w:t>Figura 3</w:t>
      </w:r>
      <w:r w:rsidRPr="00394B2C">
        <w:rPr>
          <w:rFonts w:ascii="Trebuchet MS" w:hAnsi="Trebuchet MS" w:cs="Calibri"/>
          <w:lang w:val="ro-RO"/>
        </w:rPr>
        <w:t>), cât și prin raportare la consumul de TOE per capita (</w:t>
      </w:r>
      <w:r w:rsidRPr="00394B2C">
        <w:rPr>
          <w:rFonts w:ascii="Trebuchet MS" w:hAnsi="Trebuchet MS" w:cs="Calibri"/>
          <w:i/>
          <w:iCs/>
          <w:lang w:val="ro-RO"/>
        </w:rPr>
        <w:t>Figura 4</w:t>
      </w:r>
      <w:r w:rsidRPr="00394B2C">
        <w:rPr>
          <w:rFonts w:ascii="Trebuchet MS" w:hAnsi="Trebuchet MS" w:cs="Calibri"/>
          <w:lang w:val="ro-RO"/>
        </w:rPr>
        <w:t>).</w:t>
      </w:r>
    </w:p>
    <w:p w:rsidR="00B978E1" w:rsidRPr="00394B2C" w:rsidRDefault="00B978E1" w:rsidP="00394B2C">
      <w:pPr>
        <w:spacing w:after="0" w:line="360" w:lineRule="auto"/>
        <w:ind w:firstLine="567"/>
        <w:jc w:val="center"/>
        <w:rPr>
          <w:rFonts w:ascii="Trebuchet MS" w:hAnsi="Trebuchet MS" w:cs="Calibri"/>
          <w:b/>
          <w:bCs/>
          <w:lang w:val="ro-RO"/>
        </w:rPr>
      </w:pPr>
      <w:r>
        <w:rPr>
          <w:rFonts w:ascii="Trebuchet MS" w:hAnsi="Trebuchet MS" w:cs="Calibri"/>
          <w:b/>
          <w:bCs/>
          <w:lang w:val="ro-RO"/>
        </w:rPr>
        <w:br w:type="page"/>
      </w:r>
      <w:r w:rsidRPr="00394B2C">
        <w:rPr>
          <w:rFonts w:ascii="Trebuchet MS" w:hAnsi="Trebuchet MS" w:cs="Calibri"/>
          <w:b/>
          <w:bCs/>
          <w:lang w:val="ro-RO"/>
        </w:rPr>
        <w:t>Figura 3 - Consumul de energie finală (%, UE28, 2000 - 2019)</w:t>
      </w:r>
    </w:p>
    <w:p w:rsidR="00B978E1" w:rsidRPr="00394B2C" w:rsidRDefault="00B978E1" w:rsidP="00394B2C">
      <w:pPr>
        <w:spacing w:after="0" w:line="360" w:lineRule="auto"/>
        <w:jc w:val="center"/>
        <w:rPr>
          <w:rFonts w:ascii="Trebuchet MS" w:hAnsi="Trebuchet MS" w:cs="Calibri"/>
          <w:lang w:val="ro-RO"/>
        </w:rPr>
      </w:pPr>
      <w:r w:rsidRPr="00394B2C">
        <w:rPr>
          <w:rFonts w:ascii="Trebuchet MS" w:hAnsi="Trebuchet MS" w:cs="Calibri"/>
          <w:noProof/>
        </w:rPr>
        <w:pict>
          <v:shape id="Picture 4" o:spid="_x0000_i1029" type="#_x0000_t75" style="width:417.6pt;height:313.2pt;visibility:visible">
            <v:imagedata r:id="rId9" o:title=""/>
          </v:shape>
        </w:pict>
      </w:r>
    </w:p>
    <w:p w:rsidR="00B978E1" w:rsidRPr="00394B2C" w:rsidRDefault="00B978E1" w:rsidP="00394B2C">
      <w:pPr>
        <w:spacing w:after="0" w:line="360" w:lineRule="auto"/>
        <w:ind w:firstLine="567"/>
        <w:jc w:val="center"/>
        <w:rPr>
          <w:rFonts w:ascii="Trebuchet MS" w:hAnsi="Trebuchet MS" w:cs="Calibri"/>
          <w:b/>
          <w:bCs/>
          <w:lang w:val="ro-RO"/>
        </w:rPr>
      </w:pPr>
      <w:r w:rsidRPr="00394B2C">
        <w:rPr>
          <w:rFonts w:ascii="Trebuchet MS" w:hAnsi="Trebuchet MS" w:cs="Calibri"/>
          <w:b/>
          <w:bCs/>
          <w:lang w:val="ro-RO"/>
        </w:rPr>
        <w:t>Figura 4 - Consumul de energie finală (TOE per capita, UE28, 2000 - 2019)</w:t>
      </w:r>
    </w:p>
    <w:p w:rsidR="00B978E1" w:rsidRPr="00394B2C" w:rsidRDefault="00B978E1" w:rsidP="00394B2C">
      <w:pPr>
        <w:spacing w:after="0" w:line="360" w:lineRule="auto"/>
        <w:jc w:val="center"/>
        <w:rPr>
          <w:rFonts w:ascii="Trebuchet MS" w:hAnsi="Trebuchet MS" w:cs="Calibri"/>
          <w:lang w:val="ro-RO"/>
        </w:rPr>
      </w:pPr>
      <w:r w:rsidRPr="00394B2C">
        <w:rPr>
          <w:rFonts w:ascii="Trebuchet MS" w:hAnsi="Trebuchet MS" w:cs="Calibri"/>
          <w:noProof/>
        </w:rPr>
        <w:pict>
          <v:shape id="Picture 5" o:spid="_x0000_i1030" type="#_x0000_t75" style="width:5in;height:270pt;visibility:visible">
            <v:imagedata r:id="rId10" o:title=""/>
          </v:shape>
        </w:pic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i/>
          <w:iCs/>
          <w:lang w:val="ro-RO"/>
        </w:rPr>
        <w:t>Figura 3</w:t>
      </w:r>
      <w:r w:rsidRPr="00394B2C">
        <w:rPr>
          <w:rFonts w:ascii="Trebuchet MS" w:hAnsi="Trebuchet MS" w:cs="Calibri"/>
          <w:lang w:val="ro-RO"/>
        </w:rPr>
        <w:t xml:space="preserve"> este echivalentul Figurii 1, cu mențiunea că de această dată ne referim la energia finală. Față de anul 2005 care reprezintă 100%, România era în 2019 la 97,1%, ceea ce indică o scădere modestă a consumului de energie finală. În UE28, reducerea consumului față de anul 2005 era mai substanțială în 2019, la 93,6%. Germania nu este departe de situația României, cu 97,7% în 2019 – o scădere deci redusă a consumului de energie finală. Polonia se distinge încă o dată prin faptul că nu exemplifică tendințele prezente la nivel european: în 2019, era la un consum de 121,3% față de 100% în 2005. </w:t>
      </w:r>
      <w:r w:rsidRPr="00394B2C">
        <w:rPr>
          <w:rFonts w:ascii="Trebuchet MS" w:hAnsi="Trebuchet MS" w:cs="Calibri"/>
          <w:i/>
          <w:iCs/>
          <w:lang w:val="ro-RO"/>
        </w:rPr>
        <w:t xml:space="preserve">Figura 4 </w:t>
      </w:r>
      <w:r w:rsidRPr="00394B2C">
        <w:rPr>
          <w:rFonts w:ascii="Trebuchet MS" w:hAnsi="Trebuchet MS" w:cs="Calibri"/>
          <w:lang w:val="ro-RO"/>
        </w:rPr>
        <w:t>prezintă consumul de energie finală ca TOE per capita. Țara noastră este la 1,2 tone per capita în 2019, o creștere mică față de 1 tonă per capita în 2000, dar o stagnare față de 2007, anul aderării la UE. Media UE28 era de 2,2 tone per capita în 2019, față de 2,3 tone în 2000 – practic, avem o stagnare. În Germania, în 2019 aveam 2,6 tone per capita, față de 2,7 în 2000 – o confirmare a trendului european. În Polonia, ca și mai devreme, consumul de energie finală a crescut în ultimii 20 ani, de la 1,4 tone per capita în 2000 la 1,9 tone în 2019.</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Am făcut un pas suplimentar și ne-am uitat la consumul de energie finală în gospodării per capita, măsurat în kilograme echivalent petrol (KGOE) per capita (indicator Eurostat SGD_07_20</w:t>
      </w:r>
      <w:r w:rsidRPr="00394B2C">
        <w:rPr>
          <w:rStyle w:val="FootnoteReference"/>
          <w:rFonts w:ascii="Trebuchet MS" w:hAnsi="Trebuchet MS" w:cs="Calibri"/>
          <w:lang w:val="ro-RO"/>
        </w:rPr>
        <w:footnoteReference w:id="5"/>
      </w:r>
      <w:r w:rsidRPr="00394B2C">
        <w:rPr>
          <w:rFonts w:ascii="Trebuchet MS" w:hAnsi="Trebuchet MS" w:cs="Calibri"/>
          <w:lang w:val="ro-RO"/>
        </w:rPr>
        <w:t xml:space="preserve">). Indicatorul măsoară câtă energie electrică și termică consumă fiecare cetățean acasă, aici excluzând energia utilizată pentru transport. Situația este prezentată grafic în </w:t>
      </w:r>
      <w:r w:rsidRPr="00394B2C">
        <w:rPr>
          <w:rFonts w:ascii="Trebuchet MS" w:hAnsi="Trebuchet MS" w:cs="Calibri"/>
          <w:i/>
          <w:iCs/>
          <w:lang w:val="ro-RO"/>
        </w:rPr>
        <w:t>Figura 5</w:t>
      </w:r>
      <w:r w:rsidRPr="00394B2C">
        <w:rPr>
          <w:rFonts w:ascii="Trebuchet MS" w:hAnsi="Trebuchet MS" w:cs="Calibri"/>
          <w:lang w:val="ro-RO"/>
        </w:rPr>
        <w:t>. În România, consumul de energie finală în gospodării per capita a crescut în ultimii 20 ani, de la 375 kilograme per capita în 2000 la 400 kilograme în 2019. În UE28, tendința este una opusă, de scădere, de la 598 KGOE per capita în 2000 la 554 KGOE în 2019. Această tendință descrescătoare este sesizabilă și în cazul Germaniei, care parcurge drumul de la 795 KGOE per capita în 2000 la 695 KGOE per capita în 2019. În Polonia, ca și în cazul restului indicatorilor analizați până acum, avem o creștere a consumului de energie finală în gospodării, de la 450 KGOE per capita în 2000 la 479 KGOE în 2019. Acest indicator este important, pentru că ne permite să corelăm aceste evoluții cu un eventual comportament mai ecologic al gospodăriilor.</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Dincolo de consumul de energie primară sau finală, întrebarea esențială ține de productivitatea energetică. Potrivit Eurostat (indicator SDG_07_30</w:t>
      </w:r>
      <w:r w:rsidRPr="00394B2C">
        <w:rPr>
          <w:rStyle w:val="FootnoteReference"/>
          <w:rFonts w:ascii="Trebuchet MS" w:hAnsi="Trebuchet MS" w:cs="Calibri"/>
          <w:lang w:val="ro-RO"/>
        </w:rPr>
        <w:footnoteReference w:id="6"/>
      </w:r>
      <w:r w:rsidRPr="00394B2C">
        <w:rPr>
          <w:rFonts w:ascii="Trebuchet MS" w:hAnsi="Trebuchet MS" w:cs="Calibri"/>
          <w:lang w:val="ro-RO"/>
        </w:rPr>
        <w:t xml:space="preserve">), productivitatea energetică măsoară cantitatea de </w:t>
      </w:r>
      <w:r w:rsidRPr="00394B2C">
        <w:rPr>
          <w:rFonts w:ascii="Trebuchet MS" w:hAnsi="Trebuchet MS" w:cs="Calibri"/>
          <w:i/>
          <w:iCs/>
          <w:lang w:val="ro-RO"/>
        </w:rPr>
        <w:t>output</w:t>
      </w:r>
      <w:r w:rsidRPr="00394B2C">
        <w:rPr>
          <w:rFonts w:ascii="Trebuchet MS" w:hAnsi="Trebuchet MS" w:cs="Calibri"/>
          <w:lang w:val="ro-RO"/>
        </w:rPr>
        <w:t xml:space="preserve"> economic produsă per unitate de energie brută disponibilă. Productivitatea energetică se măsoară, conform Eurostat, fie în Euro în volume legate în lanț (</w:t>
      </w:r>
      <w:r w:rsidRPr="00394B2C">
        <w:rPr>
          <w:rFonts w:ascii="Trebuchet MS" w:hAnsi="Trebuchet MS" w:cs="Calibri"/>
          <w:i/>
          <w:iCs/>
          <w:lang w:val="ro-RO"/>
        </w:rPr>
        <w:t>chain-linked volumes</w:t>
      </w:r>
      <w:r w:rsidRPr="00394B2C">
        <w:rPr>
          <w:rFonts w:ascii="Trebuchet MS" w:hAnsi="Trebuchet MS" w:cs="Calibri"/>
          <w:lang w:val="ro-RO"/>
        </w:rPr>
        <w:t xml:space="preserve">) față de anul de referință 2010 la cursul de schimb din acel an, fie în unități PPS (standard de putere de cumpărare). Primul indicator este relevant pentru a observa evoluția în timp pentru o anumită regiune, în timp ce indicatorul din urmă permite compararea statelor membre într-un anumit an. Rezultatele pentru cei doi indicatori se găsesc în </w:t>
      </w:r>
      <w:r w:rsidRPr="00394B2C">
        <w:rPr>
          <w:rFonts w:ascii="Trebuchet MS" w:hAnsi="Trebuchet MS" w:cs="Calibri"/>
          <w:i/>
          <w:iCs/>
          <w:lang w:val="ro-RO"/>
        </w:rPr>
        <w:t>Figura 6</w:t>
      </w:r>
      <w:r w:rsidRPr="00394B2C">
        <w:rPr>
          <w:rFonts w:ascii="Trebuchet MS" w:hAnsi="Trebuchet MS" w:cs="Calibri"/>
          <w:lang w:val="ro-RO"/>
        </w:rPr>
        <w:t xml:space="preserve"> și în </w:t>
      </w:r>
      <w:r w:rsidRPr="00394B2C">
        <w:rPr>
          <w:rFonts w:ascii="Trebuchet MS" w:hAnsi="Trebuchet MS" w:cs="Calibri"/>
          <w:i/>
          <w:iCs/>
          <w:lang w:val="ro-RO"/>
        </w:rPr>
        <w:t>Figura 7</w:t>
      </w:r>
      <w:r w:rsidRPr="00394B2C">
        <w:rPr>
          <w:rFonts w:ascii="Trebuchet MS" w:hAnsi="Trebuchet MS" w:cs="Calibri"/>
          <w:lang w:val="ro-RO"/>
        </w:rPr>
        <w:t>.</w:t>
      </w:r>
    </w:p>
    <w:p w:rsidR="00B978E1" w:rsidRPr="00394B2C" w:rsidRDefault="00B978E1" w:rsidP="00394B2C">
      <w:pPr>
        <w:spacing w:after="0" w:line="360" w:lineRule="auto"/>
        <w:ind w:firstLine="567"/>
        <w:jc w:val="both"/>
        <w:rPr>
          <w:rFonts w:ascii="Trebuchet MS" w:hAnsi="Trebuchet MS" w:cs="Calibri"/>
          <w:lang w:val="ro-RO"/>
        </w:rPr>
      </w:pPr>
    </w:p>
    <w:p w:rsidR="00B978E1" w:rsidRPr="00394B2C" w:rsidRDefault="00B978E1" w:rsidP="00394B2C">
      <w:pPr>
        <w:spacing w:after="0" w:line="360" w:lineRule="auto"/>
        <w:ind w:firstLine="567"/>
        <w:jc w:val="center"/>
        <w:rPr>
          <w:rFonts w:ascii="Trebuchet MS" w:hAnsi="Trebuchet MS" w:cs="Calibri"/>
          <w:b/>
          <w:bCs/>
          <w:lang w:val="ro-RO"/>
        </w:rPr>
      </w:pPr>
      <w:r w:rsidRPr="00394B2C">
        <w:rPr>
          <w:rFonts w:ascii="Trebuchet MS" w:hAnsi="Trebuchet MS" w:cs="Calibri"/>
          <w:b/>
          <w:bCs/>
          <w:lang w:val="ro-RO"/>
        </w:rPr>
        <w:t>Figura 5 - Consumul de energie finală în gospodării per capita (UE28, 2000 - 2019)</w:t>
      </w:r>
    </w:p>
    <w:p w:rsidR="00B978E1" w:rsidRPr="00394B2C" w:rsidRDefault="00B978E1" w:rsidP="00394B2C">
      <w:pPr>
        <w:spacing w:after="0" w:line="360" w:lineRule="auto"/>
        <w:rPr>
          <w:rFonts w:ascii="Trebuchet MS" w:hAnsi="Trebuchet MS" w:cs="Calibri"/>
          <w:b/>
          <w:bCs/>
          <w:lang w:val="ro-RO"/>
        </w:rPr>
      </w:pPr>
      <w:r w:rsidRPr="00394B2C">
        <w:rPr>
          <w:rFonts w:ascii="Trebuchet MS" w:hAnsi="Trebuchet MS" w:cs="Calibri"/>
          <w:b/>
          <w:noProof/>
        </w:rPr>
        <w:pict>
          <v:shape id="Picture 6" o:spid="_x0000_i1031" type="#_x0000_t75" style="width:460.8pt;height:345.6pt;visibility:visible">
            <v:imagedata r:id="rId11" o:title=""/>
          </v:shape>
        </w:pic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bCs/>
          <w:lang w:val="ro-RO"/>
        </w:rPr>
        <w:t>Figura 6 – Productivitatea energetică (Euro, UE28, 2000 - 2019)</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 id="Picture 7" o:spid="_x0000_i1032" type="#_x0000_t75" style="width:5in;height:270pt;visibility:visible">
            <v:imagedata r:id="rId12" o:title=""/>
          </v:shape>
        </w:pict>
      </w:r>
    </w:p>
    <w:p w:rsidR="00B978E1" w:rsidRPr="00394B2C" w:rsidRDefault="00B978E1" w:rsidP="00394B2C">
      <w:pPr>
        <w:spacing w:after="0" w:line="360" w:lineRule="auto"/>
        <w:rPr>
          <w:rFonts w:ascii="Trebuchet MS" w:hAnsi="Trebuchet MS" w:cs="Calibri"/>
          <w:b/>
          <w:bCs/>
          <w:lang w:val="ro-RO"/>
        </w:rPr>
      </w:pP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bCs/>
          <w:lang w:val="ro-RO"/>
        </w:rPr>
        <w:t>Figura 7 – Productivitatea energetică (standard PPP, UE28, 2000 - 2019)</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 id="Picture 8" o:spid="_x0000_i1033" type="#_x0000_t75" style="width:388.8pt;height:291.6pt;visibility:visible">
            <v:imagedata r:id="rId13" o:title=""/>
          </v:shape>
        </w:pic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 xml:space="preserve">Așa cum putem vedea în </w:t>
      </w:r>
      <w:r w:rsidRPr="00394B2C">
        <w:rPr>
          <w:rFonts w:ascii="Trebuchet MS" w:hAnsi="Trebuchet MS" w:cs="Calibri"/>
          <w:i/>
          <w:iCs/>
          <w:lang w:val="ro-RO"/>
        </w:rPr>
        <w:t>Figura 6</w:t>
      </w:r>
      <w:r w:rsidRPr="00394B2C">
        <w:rPr>
          <w:rFonts w:ascii="Trebuchet MS" w:hAnsi="Trebuchet MS" w:cs="Calibri"/>
          <w:lang w:val="ro-RO"/>
        </w:rPr>
        <w:t xml:space="preserve">, dintr-un KGOE se produceau în 2019 în România 5,3 Euro, ceea ce reprezintă un progres important față de acum 20 ani, ținând cont că în 2000 se produceau doar 2,3 Euro. Cu tot acest progres, suntem încă departe de media pentru UE28, care era în 2019 de 8,8 Euro per KGOE, un avans față de 6,3 Euro în 2000. În Germania, productivitatea energetică este peste media UE și se situează la 9,7 Euro per KGOE în 2019, din nou un progres față de valoarea de 6,8 Euro în 2000. Polonia este sub productivitatea energetică a României, aflându-se la 4,8 Euro per KGOE în 2019, față de 3,8 Euro în 2000. Lucrurile arată și mai favorabil pentru România, dacă privim la </w:t>
      </w:r>
      <w:r w:rsidRPr="00394B2C">
        <w:rPr>
          <w:rFonts w:ascii="Trebuchet MS" w:hAnsi="Trebuchet MS" w:cs="Calibri"/>
          <w:i/>
          <w:iCs/>
          <w:lang w:val="ro-RO"/>
        </w:rPr>
        <w:t>Figura 7</w:t>
      </w:r>
      <w:r w:rsidRPr="00394B2C">
        <w:rPr>
          <w:rFonts w:ascii="Trebuchet MS" w:hAnsi="Trebuchet MS" w:cs="Calibri"/>
          <w:lang w:val="ro-RO"/>
        </w:rPr>
        <w:t>. Aici, România avea o valoare de 12,7 în 2019, față de doar 3 în anul 2000 – practic, înregistrăm o creștere de patru ori în ultimii 20 ani. Media UE28 în 2019 era de 9,6, deci sub scorul înregistrat de România, de la un scor de 5,2 în 2000. În Germania, scorul era de 10,2 în 2019, de la 5,4 în 2000, iar în Polonia productivitatea era de 8,3 în 2019, de la 3,8 în 2000. Avem, în aceste statistici, indicii despre productivitatea energetică a României, care arată un progres bun în ultimii 20 ani și o plasare decentă și chiar competitivă în raport cu media UE, cu Germania și Polonia, în special atunci când ajustăm cifrele pe baza puterii de cumpărare.</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Sporirea consumului de energie regenerabilă este una dintre marile ținte pentru dezvoltarea durabilă a Europei și a țării noastre, așa că vom investiga care este situația pe această temă. Vom folosi date Eurostat (indicator SDG_07_40</w:t>
      </w:r>
      <w:r w:rsidRPr="00394B2C">
        <w:rPr>
          <w:rStyle w:val="FootnoteReference"/>
          <w:rFonts w:ascii="Trebuchet MS" w:hAnsi="Trebuchet MS" w:cs="Calibri"/>
          <w:lang w:val="ro-RO"/>
        </w:rPr>
        <w:footnoteReference w:id="7"/>
      </w:r>
      <w:r w:rsidRPr="00394B2C">
        <w:rPr>
          <w:rFonts w:ascii="Trebuchet MS" w:hAnsi="Trebuchet MS" w:cs="Calibri"/>
          <w:lang w:val="ro-RO"/>
        </w:rPr>
        <w:t xml:space="preserve">). Pornind de la datele existente, ne vom concentra pe patru dimensiuni: 1) ponderea energiei regenerabile în consumul final brut de energie – </w:t>
      </w:r>
      <w:r w:rsidRPr="00394B2C">
        <w:rPr>
          <w:rFonts w:ascii="Trebuchet MS" w:hAnsi="Trebuchet MS" w:cs="Calibri"/>
          <w:i/>
          <w:iCs/>
          <w:lang w:val="ro-RO"/>
        </w:rPr>
        <w:t>Figura 8</w:t>
      </w:r>
      <w:r w:rsidRPr="00394B2C">
        <w:rPr>
          <w:rFonts w:ascii="Trebuchet MS" w:hAnsi="Trebuchet MS" w:cs="Calibri"/>
          <w:lang w:val="ro-RO"/>
        </w:rPr>
        <w:t xml:space="preserve">; 2) ponderea energiei regenerabile în consumul final brut de energie din domeniul transporturilor – </w:t>
      </w:r>
      <w:r w:rsidRPr="00394B2C">
        <w:rPr>
          <w:rFonts w:ascii="Trebuchet MS" w:hAnsi="Trebuchet MS" w:cs="Calibri"/>
          <w:i/>
          <w:iCs/>
          <w:lang w:val="ro-RO"/>
        </w:rPr>
        <w:t>Figura 9</w:t>
      </w:r>
      <w:r w:rsidRPr="00394B2C">
        <w:rPr>
          <w:rFonts w:ascii="Trebuchet MS" w:hAnsi="Trebuchet MS" w:cs="Calibri"/>
          <w:lang w:val="ro-RO"/>
        </w:rPr>
        <w:t xml:space="preserve">; 3) ponderea energiei regenerabile în consumul final brut de energie din domeniul energiei electrice – </w:t>
      </w:r>
      <w:r w:rsidRPr="00394B2C">
        <w:rPr>
          <w:rFonts w:ascii="Trebuchet MS" w:hAnsi="Trebuchet MS" w:cs="Calibri"/>
          <w:i/>
          <w:iCs/>
          <w:lang w:val="ro-RO"/>
        </w:rPr>
        <w:t>Figura 10</w:t>
      </w:r>
      <w:r w:rsidRPr="00394B2C">
        <w:rPr>
          <w:rFonts w:ascii="Trebuchet MS" w:hAnsi="Trebuchet MS" w:cs="Calibri"/>
          <w:lang w:val="ro-RO"/>
        </w:rPr>
        <w:t xml:space="preserve">; și 4) ponderea energiei regenerabile în consumul final brut de energie din domeniul încălzirii – </w:t>
      </w:r>
      <w:r w:rsidRPr="00394B2C">
        <w:rPr>
          <w:rFonts w:ascii="Trebuchet MS" w:hAnsi="Trebuchet MS" w:cs="Calibri"/>
          <w:i/>
          <w:iCs/>
          <w:lang w:val="ro-RO"/>
        </w:rPr>
        <w:t>Figura 11</w:t>
      </w:r>
      <w:r w:rsidRPr="00394B2C">
        <w:rPr>
          <w:rFonts w:ascii="Trebuchet MS" w:hAnsi="Trebuchet MS" w:cs="Calibri"/>
          <w:lang w:val="ro-RO"/>
        </w:rPr>
        <w:t>.</w:t>
      </w:r>
    </w:p>
    <w:p w:rsidR="00B978E1"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 xml:space="preserve">Așa cum se poate vedea în </w:t>
      </w:r>
      <w:r w:rsidRPr="00394B2C">
        <w:rPr>
          <w:rFonts w:ascii="Trebuchet MS" w:hAnsi="Trebuchet MS" w:cs="Calibri"/>
          <w:i/>
          <w:iCs/>
          <w:lang w:val="ro-RO"/>
        </w:rPr>
        <w:t>Figura 8</w:t>
      </w:r>
      <w:r w:rsidRPr="00394B2C">
        <w:rPr>
          <w:rFonts w:ascii="Trebuchet MS" w:hAnsi="Trebuchet MS" w:cs="Calibri"/>
          <w:lang w:val="ro-RO"/>
        </w:rPr>
        <w:t>, ponderea energiei regenerabile din consumul final brut total de energie era de 24,3% în 2019, față de 16,8% în 2004. Situația în România era mai bună decât în UE28, unde valoarea era de 18,9% în 2019, față de 8,6% în 2004. De asemenea, suntem mai bine situați decât Germania (17,4% în 2019, 6,2% în 2004) și Polonia (12,2 în 2019 ș</w:t>
      </w:r>
      <w:r>
        <w:rPr>
          <w:rFonts w:ascii="Trebuchet MS" w:hAnsi="Trebuchet MS" w:cs="Calibri"/>
          <w:lang w:val="ro-RO"/>
        </w:rPr>
        <w:t>i 6,9</w:t>
      </w:r>
      <w:r w:rsidRPr="00394B2C">
        <w:rPr>
          <w:rFonts w:ascii="Trebuchet MS" w:hAnsi="Trebuchet MS" w:cs="Calibri"/>
          <w:lang w:val="ro-RO"/>
        </w:rPr>
        <w:t xml:space="preserve">% în </w:t>
      </w:r>
      <w:r>
        <w:rPr>
          <w:rFonts w:ascii="Trebuchet MS" w:hAnsi="Trebuchet MS" w:cs="Calibri"/>
          <w:lang w:val="ro-RO"/>
        </w:rPr>
        <w:t>2004)</w:t>
      </w:r>
    </w:p>
    <w:p w:rsidR="00B978E1" w:rsidRPr="00394B2C" w:rsidRDefault="00B978E1" w:rsidP="00394B2C">
      <w:pPr>
        <w:spacing w:after="0" w:line="360" w:lineRule="auto"/>
        <w:ind w:firstLine="567"/>
        <w:jc w:val="both"/>
        <w:rPr>
          <w:rFonts w:ascii="Trebuchet MS" w:hAnsi="Trebuchet MS" w:cs="Calibri"/>
          <w:b/>
          <w:bCs/>
          <w:lang w:val="ro-RO"/>
        </w:rPr>
      </w:pPr>
      <w:r>
        <w:rPr>
          <w:rFonts w:ascii="Trebuchet MS" w:hAnsi="Trebuchet MS" w:cs="Calibri"/>
          <w:lang w:val="ro-RO"/>
        </w:rPr>
        <w:br w:type="page"/>
      </w:r>
      <w:r w:rsidRPr="00394B2C">
        <w:rPr>
          <w:rFonts w:ascii="Trebuchet MS" w:hAnsi="Trebuchet MS" w:cs="Calibri"/>
          <w:b/>
          <w:bCs/>
          <w:lang w:val="ro-RO"/>
        </w:rPr>
        <w:t>Figura 8 – Ponderea energiei regenerabile în consumul final brut de energie (%, UE28, 2000 - 2019)</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 id="Picture 9" o:spid="_x0000_i1034" type="#_x0000_t75" style="width:5in;height:270pt;visibility:visible">
            <v:imagedata r:id="rId14" o:title=""/>
          </v:shape>
        </w:pict>
      </w:r>
    </w:p>
    <w:p w:rsidR="00B978E1" w:rsidRDefault="00B978E1" w:rsidP="00394B2C">
      <w:pPr>
        <w:spacing w:after="0" w:line="360" w:lineRule="auto"/>
        <w:ind w:firstLine="567"/>
        <w:jc w:val="center"/>
        <w:rPr>
          <w:rFonts w:ascii="Trebuchet MS" w:hAnsi="Trebuchet MS" w:cs="Calibri"/>
          <w:b/>
          <w:bCs/>
          <w:lang w:val="ro-RO"/>
        </w:rPr>
      </w:pPr>
    </w:p>
    <w:p w:rsidR="00B978E1" w:rsidRPr="00394B2C" w:rsidRDefault="00B978E1" w:rsidP="00394B2C">
      <w:pPr>
        <w:spacing w:after="0" w:line="360" w:lineRule="auto"/>
        <w:ind w:firstLine="567"/>
        <w:jc w:val="center"/>
        <w:rPr>
          <w:rFonts w:ascii="Trebuchet MS" w:hAnsi="Trebuchet MS" w:cs="Calibri"/>
          <w:b/>
          <w:bCs/>
          <w:lang w:val="ro-RO"/>
        </w:rPr>
      </w:pPr>
      <w:r w:rsidRPr="00394B2C">
        <w:rPr>
          <w:rFonts w:ascii="Trebuchet MS" w:hAnsi="Trebuchet MS" w:cs="Calibri"/>
          <w:b/>
          <w:bCs/>
          <w:lang w:val="ro-RO"/>
        </w:rPr>
        <w:t>Figura 9 – Ponderea energiei regenerabile în consumul final brut de energie din domeniul transporturilor (%, UE28, 2000 - 2019)</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 id="Picture 10" o:spid="_x0000_i1035" type="#_x0000_t75" style="width:5in;height:270pt;visibility:visible">
            <v:imagedata r:id="rId15" o:title=""/>
          </v:shape>
        </w:pict>
      </w:r>
    </w:p>
    <w:p w:rsidR="00B978E1" w:rsidRPr="00394B2C" w:rsidRDefault="00B978E1" w:rsidP="00394B2C">
      <w:pPr>
        <w:spacing w:after="0" w:line="360" w:lineRule="auto"/>
        <w:ind w:firstLine="567"/>
        <w:jc w:val="center"/>
        <w:rPr>
          <w:rFonts w:ascii="Trebuchet MS" w:hAnsi="Trebuchet MS" w:cs="Calibri"/>
          <w:b/>
          <w:bCs/>
          <w:lang w:val="ro-RO"/>
        </w:rPr>
      </w:pPr>
      <w:r>
        <w:rPr>
          <w:rFonts w:ascii="Trebuchet MS" w:hAnsi="Trebuchet MS" w:cs="Calibri"/>
          <w:b/>
          <w:bCs/>
          <w:lang w:val="ro-RO"/>
        </w:rPr>
        <w:br w:type="page"/>
      </w:r>
      <w:r w:rsidRPr="00394B2C">
        <w:rPr>
          <w:rFonts w:ascii="Trebuchet MS" w:hAnsi="Trebuchet MS" w:cs="Calibri"/>
          <w:b/>
          <w:bCs/>
          <w:lang w:val="ro-RO"/>
        </w:rPr>
        <w:t>Figura 10 – Ponderea energiei regenerabile în consumul final brut de energie din domeniul energiei electrice (%, UE28, 2000 - 2019)</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 id="Picture 11" o:spid="_x0000_i1036" type="#_x0000_t75" style="width:345.6pt;height:259.2pt;visibility:visible">
            <v:imagedata r:id="rId16" o:title=""/>
          </v:shape>
        </w:pict>
      </w:r>
    </w:p>
    <w:p w:rsidR="00B978E1" w:rsidRPr="00394B2C" w:rsidRDefault="00B978E1" w:rsidP="00394B2C">
      <w:pPr>
        <w:spacing w:after="0" w:line="360" w:lineRule="auto"/>
        <w:ind w:firstLine="567"/>
        <w:jc w:val="both"/>
        <w:rPr>
          <w:rFonts w:ascii="Trebuchet MS" w:hAnsi="Trebuchet MS" w:cs="Calibri"/>
          <w:b/>
          <w:bCs/>
          <w:lang w:val="ro-RO"/>
        </w:rPr>
      </w:pPr>
    </w:p>
    <w:p w:rsidR="00B978E1" w:rsidRPr="00394B2C" w:rsidRDefault="00B978E1" w:rsidP="00394B2C">
      <w:pPr>
        <w:spacing w:after="0" w:line="360" w:lineRule="auto"/>
        <w:ind w:firstLine="567"/>
        <w:jc w:val="center"/>
        <w:rPr>
          <w:rFonts w:ascii="Trebuchet MS" w:hAnsi="Trebuchet MS" w:cs="Calibri"/>
          <w:b/>
          <w:bCs/>
          <w:lang w:val="ro-RO"/>
        </w:rPr>
      </w:pPr>
      <w:r w:rsidRPr="00394B2C">
        <w:rPr>
          <w:rFonts w:ascii="Trebuchet MS" w:hAnsi="Trebuchet MS" w:cs="Calibri"/>
          <w:b/>
          <w:bCs/>
          <w:lang w:val="ro-RO"/>
        </w:rPr>
        <w:t>Figura 11 – Ponderea energiei regenerabile în consumul final brut de energie din domeniul încălzirii (%, UE28, 2000 - 2019)</w:t>
      </w:r>
    </w:p>
    <w:p w:rsidR="00B978E1" w:rsidRDefault="00B978E1" w:rsidP="00394B2C">
      <w:pPr>
        <w:spacing w:after="0" w:line="360" w:lineRule="auto"/>
        <w:jc w:val="center"/>
        <w:rPr>
          <w:rFonts w:ascii="Trebuchet MS" w:hAnsi="Trebuchet MS" w:cs="Calibri"/>
          <w:b/>
          <w:noProof/>
        </w:rPr>
      </w:pPr>
      <w:r w:rsidRPr="00394B2C">
        <w:rPr>
          <w:rFonts w:ascii="Trebuchet MS" w:hAnsi="Trebuchet MS" w:cs="Calibri"/>
          <w:b/>
          <w:noProof/>
        </w:rPr>
        <w:pict>
          <v:shape id="Picture 12" o:spid="_x0000_i1037" type="#_x0000_t75" style="width:5in;height:270pt;visibility:visible">
            <v:imagedata r:id="rId17" o:title=""/>
          </v:shape>
        </w:pict>
      </w:r>
    </w:p>
    <w:p w:rsidR="00B978E1" w:rsidRPr="00394B2C" w:rsidRDefault="00B978E1" w:rsidP="00394B2C">
      <w:pPr>
        <w:spacing w:after="0" w:line="360" w:lineRule="auto"/>
        <w:jc w:val="center"/>
        <w:rPr>
          <w:rFonts w:ascii="Trebuchet MS" w:hAnsi="Trebuchet MS" w:cs="Calibri"/>
          <w:b/>
          <w:bCs/>
          <w:lang w:val="ro-RO"/>
        </w:rPr>
      </w:pPr>
      <w:r>
        <w:rPr>
          <w:rFonts w:ascii="Trebuchet MS" w:hAnsi="Trebuchet MS" w:cs="Calibri"/>
          <w:b/>
          <w:noProof/>
        </w:rPr>
        <w:br w:type="page"/>
      </w:r>
    </w:p>
    <w:p w:rsidR="00B978E1" w:rsidRPr="00394B2C" w:rsidRDefault="00B978E1" w:rsidP="00394B2C">
      <w:pPr>
        <w:spacing w:after="0" w:line="360" w:lineRule="auto"/>
        <w:jc w:val="both"/>
        <w:rPr>
          <w:rFonts w:ascii="Trebuchet MS" w:hAnsi="Trebuchet MS" w:cs="Calibri"/>
          <w:lang w:val="ro-RO"/>
        </w:rPr>
      </w:pPr>
      <w:r w:rsidRPr="00394B2C">
        <w:rPr>
          <w:rFonts w:ascii="Trebuchet MS" w:hAnsi="Trebuchet MS" w:cs="Calibri"/>
          <w:lang w:val="ro-RO"/>
        </w:rPr>
        <w:t>Aproape o pătrime din energia finală consumată în România provine din surse regenerabile, ceea ce este încurajator. Se vede totuși, după 2014, o plafonare a ponderii energiei regenerabile, ceea ce reclamă măsuri pentru încurajarea creșterii.</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i/>
          <w:iCs/>
          <w:lang w:val="ro-RO"/>
        </w:rPr>
        <w:t>Figura 9</w:t>
      </w:r>
      <w:r w:rsidRPr="00394B2C">
        <w:rPr>
          <w:rFonts w:ascii="Trebuchet MS" w:hAnsi="Trebuchet MS" w:cs="Calibri"/>
          <w:lang w:val="ro-RO"/>
        </w:rPr>
        <w:t xml:space="preserve"> analizează consumul de energie regenerabilă din totalul energiei brute finale pentru domeniul transporturi. În 2019, în România, 7,8% din energia brută finală consumată în transporturi provenea din surse regenerabile, față de doar 1,8% în 2004. Media UE28 era în același an superioară României, de 8,9%, pornind de la o valoare de 1,4% în 2004. Spre comparație, cifra din Germania este similară celei din România (7,7% în 2019, 2,1% în 2004), în timp ce Polonia este sub România (6,1% în 2019, 1,6% în 2004). </w:t>
      </w:r>
      <w:r w:rsidRPr="00394B2C">
        <w:rPr>
          <w:rFonts w:ascii="Trebuchet MS" w:hAnsi="Trebuchet MS" w:cs="Calibri"/>
          <w:i/>
          <w:iCs/>
          <w:lang w:val="ro-RO"/>
        </w:rPr>
        <w:t>Figura 10</w:t>
      </w:r>
      <w:r w:rsidRPr="00394B2C">
        <w:rPr>
          <w:rFonts w:ascii="Trebuchet MS" w:hAnsi="Trebuchet MS" w:cs="Calibri"/>
          <w:lang w:val="ro-RO"/>
        </w:rPr>
        <w:t xml:space="preserve"> prezintă o analiză similară, cu mențiunea că ne referim la domeniul energiei electrice. În 2019, 41,7% din energia electrică din consumul brut final provenea din surse regenerabile în România, de la 28,4% în 2004. Din nou, vedem o plafonare a creșterii și chiar o scădere după 2014, o dovadă suplimentară că este nevoie de politici publice care să impulsioneze creșterea ponderii energiei regenerabile. Media UE28 era în 2019 de 34,2%, sub valoarea din România, cu punct de plecare de 14,3% în 2004. Germania avea o situație similară țării noastre – 40,8% în 2019, dar un nivel mult mai redus în 2000 – 9,4%, o dovadă a progresul făcut de germani în ultimii 16 ani. Polonia este departe de România, media UE28 și Germania, cu o valoare de doar 14,4% în 2019, de la 2,2% în 2004. În fine, </w:t>
      </w:r>
      <w:r w:rsidRPr="00394B2C">
        <w:rPr>
          <w:rFonts w:ascii="Trebuchet MS" w:hAnsi="Trebuchet MS" w:cs="Calibri"/>
          <w:i/>
          <w:iCs/>
          <w:lang w:val="ro-RO"/>
        </w:rPr>
        <w:t xml:space="preserve">Figura 11 </w:t>
      </w:r>
      <w:r w:rsidRPr="00394B2C">
        <w:rPr>
          <w:rFonts w:ascii="Trebuchet MS" w:hAnsi="Trebuchet MS" w:cs="Calibri"/>
          <w:lang w:val="ro-RO"/>
        </w:rPr>
        <w:t>ilustrează grafic situația din domeniul încălzirii. 25,7% din consumul final brut de energie din domeniul încălzirii avea ca sursă energia regenerabilă în anul 2019 în România, de la 17,3% în 2004; din nou, se remarcă o plafonare a creșterii începând cu 2014 și chiar o scădere. Media UE28 pentru 2019 era de 20,5%, iar în 2004 era la 10,4%. În Germania, valoarea pentru 2019 era de 14,6%, de la 7,2% în 2004, în timp ce în Polonia eram la 16% în 2019, de la 10,2% în 2004. Concluzionând, România este una din țările care utilizează în proporții importante energia regenerabilă, iar potențialul este unul pozitiv, în ciuda sincopelor de creștere de după 2013. Țara noastră chiar poate fi promotorul acestui tip de energie, mai ales că, fiind obișnuiți de atât de multe ori să fim la coada clasamentelor UE, de această dată suntem peste media UE și în fața unor țări cu care ne comparăm deseori, precum Polonia sau Germania.</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Următorul aspect pe care îl vom considera este dependența de energie din import. Și în acest caz vom folosi date Eurostat (indicator SDG_07_50). Acest indicator măsoară ponderea necesităților totale de energie ale unei țări satisfăcute de importurile din alte țări. Se calculează ca importuri nete împărțite la energia brută disponibilă (Dependența energetică = (importuri - exporturi) / energie brută disponibilă)</w:t>
      </w:r>
      <w:r w:rsidRPr="00394B2C">
        <w:rPr>
          <w:rStyle w:val="FootnoteReference"/>
          <w:rFonts w:ascii="Trebuchet MS" w:hAnsi="Trebuchet MS" w:cs="Calibri"/>
          <w:lang w:val="ro-RO"/>
        </w:rPr>
        <w:footnoteReference w:id="8"/>
      </w:r>
      <w:r w:rsidRPr="00394B2C">
        <w:rPr>
          <w:rFonts w:ascii="Trebuchet MS" w:hAnsi="Trebuchet MS" w:cs="Calibri"/>
          <w:lang w:val="ro-RO"/>
        </w:rPr>
        <w:t xml:space="preserve">. Ca și mai devreme, vom folosi patru indicatori pentru a surprinde dependența de importuri de energie: 1) dependența totală – </w:t>
      </w:r>
      <w:r w:rsidRPr="00394B2C">
        <w:rPr>
          <w:rFonts w:ascii="Trebuchet MS" w:hAnsi="Trebuchet MS" w:cs="Calibri"/>
          <w:i/>
          <w:iCs/>
          <w:lang w:val="ro-RO"/>
        </w:rPr>
        <w:t>Figura 12</w:t>
      </w:r>
      <w:r w:rsidRPr="00394B2C">
        <w:rPr>
          <w:rFonts w:ascii="Trebuchet MS" w:hAnsi="Trebuchet MS" w:cs="Calibri"/>
          <w:lang w:val="ro-RO"/>
        </w:rPr>
        <w:t xml:space="preserve">; 2) dependența de cărbune (mai exact, de combustibili fosili solizi) – </w:t>
      </w:r>
      <w:r w:rsidRPr="00394B2C">
        <w:rPr>
          <w:rFonts w:ascii="Trebuchet MS" w:hAnsi="Trebuchet MS" w:cs="Calibri"/>
          <w:i/>
          <w:iCs/>
          <w:lang w:val="ro-RO"/>
        </w:rPr>
        <w:t>Figura 13</w:t>
      </w:r>
      <w:r w:rsidRPr="00394B2C">
        <w:rPr>
          <w:rFonts w:ascii="Trebuchet MS" w:hAnsi="Trebuchet MS" w:cs="Calibri"/>
          <w:lang w:val="ro-RO"/>
        </w:rPr>
        <w:t xml:space="preserve">; 3) dependența de petrol și produse petroliere  – </w:t>
      </w:r>
      <w:r w:rsidRPr="00394B2C">
        <w:rPr>
          <w:rFonts w:ascii="Trebuchet MS" w:hAnsi="Trebuchet MS" w:cs="Calibri"/>
          <w:i/>
          <w:iCs/>
          <w:lang w:val="ro-RO"/>
        </w:rPr>
        <w:t>Figura 14</w:t>
      </w:r>
      <w:r w:rsidRPr="00394B2C">
        <w:rPr>
          <w:rFonts w:ascii="Trebuchet MS" w:hAnsi="Trebuchet MS" w:cs="Calibri"/>
          <w:lang w:val="ro-RO"/>
        </w:rPr>
        <w:t xml:space="preserve">; și 4) dependența de gaze naturale – </w:t>
      </w:r>
      <w:r w:rsidRPr="00394B2C">
        <w:rPr>
          <w:rFonts w:ascii="Trebuchet MS" w:hAnsi="Trebuchet MS" w:cs="Calibri"/>
          <w:i/>
          <w:iCs/>
          <w:lang w:val="ro-RO"/>
        </w:rPr>
        <w:t>Figura 15</w:t>
      </w:r>
      <w:r w:rsidRPr="00394B2C">
        <w:rPr>
          <w:rFonts w:ascii="Trebuchet MS" w:hAnsi="Trebuchet MS" w:cs="Calibri"/>
          <w:lang w:val="ro-RO"/>
        </w:rPr>
        <w:t>.</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i/>
          <w:iCs/>
          <w:lang w:val="ro-RO"/>
        </w:rPr>
        <w:t xml:space="preserve">Figura 12 </w:t>
      </w:r>
      <w:r w:rsidRPr="00394B2C">
        <w:rPr>
          <w:rFonts w:ascii="Trebuchet MS" w:hAnsi="Trebuchet MS" w:cs="Calibri"/>
          <w:lang w:val="ro-RO"/>
        </w:rPr>
        <w:t>prezintă dependența totală de importuri de energie. În 2019, pentru România, aceasta era de 30,4%, o creștere de la 21,9% în anul 2000. Ce observăm este o creștere importantă a dependenței în ultimii cinci ani, de la 16,7% în 2015. Pentru UE28, valoarea este una mult mai ridicată, de 57,8% în 2019, pornind de la 46,5% în anul 2000 – un indicator foarte clar despre cât de mult depinde Uniunea Europeană, în medie, de importurile de energie. Pentru Germania, dependența de energie de import este chiar mai mare decât media UE28: 67,6% în 2019, 59,4% în anul 2000. Polonia, precum România, se află și ea sub media UE28 la dependența de importuri de energie: 46,8% în 2019, dar aici se vede o creștere masivă a dependenței în ultimii 20 ani; în 2000, valoarea pentru Polonia era doar de 10,7%. Cum stă România comparativ cu toate țările UE ca dependență totală de importuri de energie? în 2019, România era a treia cea mai independentă țară din UE, în fața noastră aflându-se doar Estonia (4,8%) și Suedia (30,2%).</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 xml:space="preserve">În domeniul dependenței de importuri de combustibili fosili solizi – </w:t>
      </w:r>
      <w:r w:rsidRPr="00394B2C">
        <w:rPr>
          <w:rFonts w:ascii="Trebuchet MS" w:hAnsi="Trebuchet MS" w:cs="Calibri"/>
          <w:i/>
          <w:iCs/>
          <w:lang w:val="ro-RO"/>
        </w:rPr>
        <w:t>Figura 13</w:t>
      </w:r>
      <w:r w:rsidRPr="00394B2C">
        <w:rPr>
          <w:rFonts w:ascii="Trebuchet MS" w:hAnsi="Trebuchet MS" w:cs="Calibri"/>
          <w:lang w:val="ro-RO"/>
        </w:rPr>
        <w:t>, observăm că dependența României în 2019 era de 22%, față de 25,5% în 2000. Media UE28 era de 44,5% în același an, de la 31% în 2000. Germania avea o dependență de cărbune de 49,6% în 2019, de la 25,6% în 2000. Polonia, de la exportator net de cărbune în 2000 (-29%), a ajuns în 2019 să aibă o mică dependență de importuri (+6%). Din perspectivă comparată, în 2019 eram pe locul 7 prin prisma independenței energetice legate de cărbune, după Malta (0%), Grecia (3,9%), Polonia (6%), Bulgaria (7,2%), Cehia (8,9%) și Slovenia (20,1%); în același an, Portugalia era la 122,1%, iar Danemarca la 152,3%.</w:t>
      </w:r>
    </w:p>
    <w:p w:rsidR="00B978E1" w:rsidRPr="00394B2C" w:rsidRDefault="00B978E1" w:rsidP="00394B2C">
      <w:pPr>
        <w:spacing w:after="0" w:line="360" w:lineRule="auto"/>
        <w:ind w:firstLine="567"/>
        <w:jc w:val="center"/>
        <w:rPr>
          <w:rFonts w:ascii="Trebuchet MS" w:hAnsi="Trebuchet MS" w:cs="Calibri"/>
          <w:b/>
          <w:bCs/>
          <w:lang w:val="ro-RO"/>
        </w:rPr>
      </w:pPr>
      <w:r>
        <w:rPr>
          <w:rFonts w:ascii="Trebuchet MS" w:hAnsi="Trebuchet MS" w:cs="Calibri"/>
          <w:b/>
          <w:bCs/>
          <w:lang w:val="ro-RO"/>
        </w:rPr>
        <w:br w:type="page"/>
      </w:r>
      <w:r w:rsidRPr="00394B2C">
        <w:rPr>
          <w:rFonts w:ascii="Trebuchet MS" w:hAnsi="Trebuchet MS" w:cs="Calibri"/>
          <w:b/>
          <w:bCs/>
          <w:lang w:val="ro-RO"/>
        </w:rPr>
        <w:t>Figura 12 – Dependența  de importul de energie (Total) (%, UE28, 2000 - 2019)</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 id="Picture 13" o:spid="_x0000_i1038" type="#_x0000_t75" style="width:5in;height:270pt;visibility:visible">
            <v:imagedata r:id="rId18" o:title=""/>
          </v:shape>
        </w:pict>
      </w:r>
    </w:p>
    <w:p w:rsidR="00B978E1" w:rsidRPr="00394B2C" w:rsidRDefault="00B978E1" w:rsidP="00394B2C">
      <w:pPr>
        <w:spacing w:after="0" w:line="360" w:lineRule="auto"/>
        <w:ind w:firstLine="567"/>
        <w:jc w:val="center"/>
        <w:rPr>
          <w:rFonts w:ascii="Trebuchet MS" w:hAnsi="Trebuchet MS" w:cs="Calibri"/>
          <w:b/>
          <w:bCs/>
          <w:lang w:val="ro-RO"/>
        </w:rPr>
      </w:pPr>
    </w:p>
    <w:p w:rsidR="00B978E1" w:rsidRPr="00394B2C" w:rsidRDefault="00B978E1" w:rsidP="00394B2C">
      <w:pPr>
        <w:spacing w:after="0" w:line="360" w:lineRule="auto"/>
        <w:ind w:firstLine="567"/>
        <w:jc w:val="center"/>
        <w:rPr>
          <w:rFonts w:ascii="Trebuchet MS" w:hAnsi="Trebuchet MS" w:cs="Calibri"/>
          <w:b/>
          <w:bCs/>
          <w:lang w:val="ro-RO"/>
        </w:rPr>
      </w:pPr>
      <w:r w:rsidRPr="00394B2C">
        <w:rPr>
          <w:rFonts w:ascii="Trebuchet MS" w:hAnsi="Trebuchet MS" w:cs="Calibri"/>
          <w:b/>
          <w:bCs/>
          <w:lang w:val="ro-RO"/>
        </w:rPr>
        <w:t>Figura 13 – Dependența  de importul de energie (Cărbune) (%, UE28, 2000 - 2019)</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 id="Picture 14" o:spid="_x0000_i1039" type="#_x0000_t75" style="width:374.4pt;height:280.8pt;visibility:visible">
            <v:imagedata r:id="rId19" o:title=""/>
          </v:shape>
        </w:pict>
      </w:r>
    </w:p>
    <w:p w:rsidR="00B978E1" w:rsidRPr="00394B2C" w:rsidRDefault="00B978E1" w:rsidP="00394B2C">
      <w:pPr>
        <w:spacing w:after="0" w:line="360" w:lineRule="auto"/>
        <w:ind w:firstLine="567"/>
        <w:jc w:val="center"/>
        <w:rPr>
          <w:rFonts w:ascii="Trebuchet MS" w:hAnsi="Trebuchet MS" w:cs="Calibri"/>
          <w:b/>
          <w:bCs/>
          <w:lang w:val="ro-RO"/>
        </w:rPr>
      </w:pPr>
      <w:r w:rsidRPr="00394B2C">
        <w:rPr>
          <w:rFonts w:ascii="Trebuchet MS" w:hAnsi="Trebuchet MS" w:cs="Calibri"/>
          <w:b/>
          <w:bCs/>
          <w:lang w:val="ro-RO"/>
        </w:rPr>
        <w:t>Figura 14 – Dependența  de importul de energie (Petrol) (%, UE28, 2000 - 2019)</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 id="Picture 15" o:spid="_x0000_i1040" type="#_x0000_t75" style="width:374.4pt;height:280.8pt;visibility:visible">
            <v:imagedata r:id="rId20" o:title=""/>
          </v:shape>
        </w:pict>
      </w:r>
    </w:p>
    <w:p w:rsidR="00B978E1" w:rsidRPr="00394B2C" w:rsidRDefault="00B978E1" w:rsidP="00394B2C">
      <w:pPr>
        <w:spacing w:after="0" w:line="360" w:lineRule="auto"/>
        <w:ind w:firstLine="567"/>
        <w:jc w:val="center"/>
        <w:rPr>
          <w:rFonts w:ascii="Trebuchet MS" w:hAnsi="Trebuchet MS" w:cs="Calibri"/>
          <w:b/>
          <w:bCs/>
          <w:lang w:val="ro-RO"/>
        </w:rPr>
      </w:pPr>
      <w:r>
        <w:rPr>
          <w:rFonts w:ascii="Trebuchet MS" w:hAnsi="Trebuchet MS" w:cs="Calibri"/>
          <w:b/>
          <w:bCs/>
          <w:lang w:val="ro-RO"/>
        </w:rPr>
        <w:br w:type="page"/>
      </w:r>
      <w:r w:rsidRPr="00394B2C">
        <w:rPr>
          <w:rFonts w:ascii="Trebuchet MS" w:hAnsi="Trebuchet MS" w:cs="Calibri"/>
          <w:b/>
          <w:bCs/>
          <w:lang w:val="ro-RO"/>
        </w:rPr>
        <w:t>Figura 15 – Dependența  de importul de energie (Gaze naturale) (%, UE28, 2000 - 2019)</w:t>
      </w:r>
    </w:p>
    <w:p w:rsidR="00B978E1" w:rsidRPr="00394B2C" w:rsidRDefault="00B978E1" w:rsidP="00394B2C">
      <w:pPr>
        <w:spacing w:after="0" w:line="360" w:lineRule="auto"/>
        <w:jc w:val="center"/>
        <w:rPr>
          <w:rFonts w:ascii="Trebuchet MS" w:hAnsi="Trebuchet MS" w:cs="Calibri"/>
          <w:lang w:val="ro-RO"/>
        </w:rPr>
      </w:pPr>
      <w:r w:rsidRPr="00394B2C">
        <w:rPr>
          <w:rFonts w:ascii="Trebuchet MS" w:hAnsi="Trebuchet MS" w:cs="Calibri"/>
          <w:noProof/>
        </w:rPr>
        <w:pict>
          <v:shape id="Picture 16" o:spid="_x0000_i1041" type="#_x0000_t75" style="width:388.8pt;height:291.6pt;visibility:visible">
            <v:imagedata r:id="rId21" o:title=""/>
          </v:shape>
        </w:pic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 xml:space="preserve">În </w:t>
      </w:r>
      <w:r w:rsidRPr="00394B2C">
        <w:rPr>
          <w:rFonts w:ascii="Trebuchet MS" w:hAnsi="Trebuchet MS" w:cs="Calibri"/>
          <w:i/>
          <w:iCs/>
          <w:lang w:val="ro-RO"/>
        </w:rPr>
        <w:t>Figura 14</w:t>
      </w:r>
      <w:r w:rsidRPr="00394B2C">
        <w:rPr>
          <w:rFonts w:ascii="Trebuchet MS" w:hAnsi="Trebuchet MS" w:cs="Calibri"/>
          <w:lang w:val="ro-RO"/>
        </w:rPr>
        <w:t xml:space="preserve"> avem dependența de importuri de petrol. Aici, în 2019, România importa 65,8% din necesar, față de doar 34,4% în anul 2000. După 2013, când eram la 47,7%, dependența a crescut considerabil, cu aproape 20 puncte procentuale.</w:t>
      </w:r>
    </w:p>
    <w:p w:rsidR="00B978E1" w:rsidRPr="00394B2C" w:rsidRDefault="00B978E1" w:rsidP="00394B2C">
      <w:pPr>
        <w:spacing w:after="0" w:line="360" w:lineRule="auto"/>
        <w:jc w:val="both"/>
        <w:rPr>
          <w:rFonts w:ascii="Trebuchet MS" w:hAnsi="Trebuchet MS" w:cs="Calibri"/>
          <w:lang w:val="ro-RO"/>
        </w:rPr>
      </w:pPr>
      <w:r w:rsidRPr="00394B2C">
        <w:rPr>
          <w:rFonts w:ascii="Trebuchet MS" w:hAnsi="Trebuchet MS" w:cs="Calibri"/>
          <w:lang w:val="ro-RO"/>
        </w:rPr>
        <w:t>Situația în UE28 este una care scoate în evidență dependența masivă de importuri de petrol: 88,6% în 2019, de la 75,3% în 2000. Germania are și ea o dependență aproape totală de importurile de petrol – 97,3% în 2019, de la 94,6% în 2000. Polonia este în aceeași situație – 97,3% în 2019, 99,7% în 2000. Comparativ, pentru anul 2019, România este a treia cea mai puțin dependență țară din UE de importurile de petrol, după Marea Britanie (27,8%) și Danemarca (44,9%); de cealaltă parte, Suedia era la (106,7%), iar Estonia la 129,5%.</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 xml:space="preserve">Ultimul punct este dependența de importurile de gaze naturale – </w:t>
      </w:r>
      <w:r w:rsidRPr="00394B2C">
        <w:rPr>
          <w:rFonts w:ascii="Trebuchet MS" w:hAnsi="Trebuchet MS" w:cs="Calibri"/>
          <w:i/>
          <w:iCs/>
          <w:lang w:val="ro-RO"/>
        </w:rPr>
        <w:t>Figura 15</w:t>
      </w:r>
      <w:r w:rsidRPr="00394B2C">
        <w:rPr>
          <w:rFonts w:ascii="Trebuchet MS" w:hAnsi="Trebuchet MS" w:cs="Calibri"/>
          <w:lang w:val="ro-RO"/>
        </w:rPr>
        <w:t>. Doar 23,2% din gazele naturale necesare României în 2019 proveneau din export, față de la 19,8% în 2000; vedem aici o mare variație a procentajelor, după 2013, având valori precum 5% în 2014, 1,8% în 2015 sau 12% în 2018. Cel puțin din perspectiva gazelor naturale, România are potențialul de a deveni independentă energetic. Bineînțeles, acest lucru se poate schimba odată cu configurația pieței interne, acolo unde, potrivit sondajului de opinie RD12, doar 50% dintre respondenți spun că sunt racordați la sistemul public de furnizare a gazelor naturale. În UE28, dependența de gaze naturale de import era de 83,1% în 2019, față de 48,9% în 2000. Germania este chiar într-o situație mai accentuată de dependență: 100,1% în 2019, de la 79,1% în 2000. Polonia era și ea dependentă de importurile de gaze naturale în proporție de 83,1% în 2019, față de 66,3% în anul 2000. Comparativ, dintre țările UE, România era pe locul trei la independență energetică în domeniul gazelor naturale, după Danemarca (-7,2%) și Cipru (0%); pe de altă parte, Austria (122,8%) și Slovacia (136,6%) depindeau masiv de importuri de gaze naturale.</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Înainte de a analiza datele subiective disponibile, vom face un ultim stop analizând intensitatea emisiilor de gaze cu efect de seră ale consumului de energie, unde comparația este cu anul 2000, care reprezintă 100%. Datele sunt furnizate de către Eurostat (indicator SDG_13_20)</w:t>
      </w:r>
      <w:r w:rsidRPr="00394B2C">
        <w:rPr>
          <w:rStyle w:val="FootnoteReference"/>
          <w:rFonts w:ascii="Trebuchet MS" w:hAnsi="Trebuchet MS" w:cs="Calibri"/>
          <w:lang w:val="ro-RO"/>
        </w:rPr>
        <w:footnoteReference w:id="9"/>
      </w:r>
      <w:r w:rsidRPr="00394B2C">
        <w:rPr>
          <w:rFonts w:ascii="Trebuchet MS" w:hAnsi="Trebuchet MS" w:cs="Calibri"/>
          <w:lang w:val="ro-RO"/>
        </w:rPr>
        <w:t xml:space="preserve"> și pot fi vizualizate în </w:t>
      </w:r>
      <w:r w:rsidRPr="00394B2C">
        <w:rPr>
          <w:rFonts w:ascii="Trebuchet MS" w:hAnsi="Trebuchet MS" w:cs="Calibri"/>
          <w:i/>
          <w:iCs/>
          <w:lang w:val="ro-RO"/>
        </w:rPr>
        <w:t>Figura 16.</w:t>
      </w:r>
    </w:p>
    <w:p w:rsidR="00B978E1" w:rsidRPr="00394B2C" w:rsidRDefault="00B978E1" w:rsidP="00394B2C">
      <w:pPr>
        <w:spacing w:after="0" w:line="360" w:lineRule="auto"/>
        <w:ind w:firstLine="567"/>
        <w:jc w:val="both"/>
        <w:rPr>
          <w:rFonts w:ascii="Trebuchet MS" w:hAnsi="Trebuchet MS" w:cs="Calibri"/>
          <w:lang w:val="ro-RO"/>
        </w:rPr>
      </w:pPr>
      <w:r w:rsidRPr="00394B2C">
        <w:rPr>
          <w:rFonts w:ascii="Trebuchet MS" w:hAnsi="Trebuchet MS" w:cs="Calibri"/>
          <w:lang w:val="ro-RO"/>
        </w:rPr>
        <w:t xml:space="preserve">Pentru România, așa cum se poate observa în </w:t>
      </w:r>
      <w:r w:rsidRPr="00394B2C">
        <w:rPr>
          <w:rFonts w:ascii="Trebuchet MS" w:hAnsi="Trebuchet MS" w:cs="Calibri"/>
          <w:i/>
          <w:iCs/>
          <w:lang w:val="ro-RO"/>
        </w:rPr>
        <w:t>Figura 16</w:t>
      </w:r>
      <w:r w:rsidRPr="00394B2C">
        <w:rPr>
          <w:rFonts w:ascii="Trebuchet MS" w:hAnsi="Trebuchet MS" w:cs="Calibri"/>
          <w:lang w:val="ro-RO"/>
        </w:rPr>
        <w:t>, intensitatea emisiilor de gaze cu efect de seră a scăzut la 84,3% în 2018, comparativ cu valoarea de 100% din anul 2000. Media UE28 pentru anul 2018 era de 84,8%, similară cu cea a României. Germania era în același an la 90%, iar Polonia la 88,6% - aceste evoluții arată trenduri similare, cel puțin pentru aceste patru entități.</w:t>
      </w:r>
    </w:p>
    <w:p w:rsidR="00B978E1" w:rsidRPr="00394B2C" w:rsidRDefault="00B978E1" w:rsidP="00394B2C">
      <w:pPr>
        <w:spacing w:after="0" w:line="360" w:lineRule="auto"/>
        <w:ind w:firstLine="567"/>
        <w:jc w:val="both"/>
        <w:rPr>
          <w:rFonts w:ascii="Trebuchet MS" w:hAnsi="Trebuchet MS" w:cs="Calibri"/>
          <w:lang w:val="ro-RO"/>
        </w:rPr>
      </w:pPr>
    </w:p>
    <w:p w:rsidR="00B978E1" w:rsidRPr="00394B2C" w:rsidRDefault="00B978E1" w:rsidP="00394B2C">
      <w:pPr>
        <w:spacing w:after="0" w:line="360" w:lineRule="auto"/>
        <w:ind w:firstLine="567"/>
        <w:jc w:val="center"/>
        <w:rPr>
          <w:rFonts w:ascii="Trebuchet MS" w:hAnsi="Trebuchet MS" w:cs="Calibri"/>
          <w:b/>
          <w:bCs/>
          <w:lang w:val="ro-RO"/>
        </w:rPr>
      </w:pPr>
      <w:r>
        <w:rPr>
          <w:rFonts w:ascii="Trebuchet MS" w:hAnsi="Trebuchet MS" w:cs="Calibri"/>
          <w:b/>
          <w:bCs/>
          <w:lang w:val="ro-RO"/>
        </w:rPr>
        <w:br w:type="page"/>
      </w:r>
      <w:r w:rsidRPr="00394B2C">
        <w:rPr>
          <w:rFonts w:ascii="Trebuchet MS" w:hAnsi="Trebuchet MS" w:cs="Calibri"/>
          <w:b/>
          <w:bCs/>
          <w:lang w:val="ro-RO"/>
        </w:rPr>
        <w:t>Figura 16 – Intensitatea emisiilor de gaze cu efect de seră ale consumului de energie (%, UE28, 2000 - 2018)</w:t>
      </w:r>
    </w:p>
    <w:p w:rsidR="00B978E1" w:rsidRPr="00394B2C" w:rsidRDefault="00B978E1" w:rsidP="00394B2C">
      <w:pPr>
        <w:spacing w:after="0" w:line="360" w:lineRule="auto"/>
        <w:jc w:val="center"/>
        <w:rPr>
          <w:rFonts w:ascii="Trebuchet MS" w:hAnsi="Trebuchet MS" w:cs="Calibri"/>
          <w:b/>
          <w:bCs/>
          <w:lang w:val="ro-RO"/>
        </w:rPr>
      </w:pPr>
      <w:r w:rsidRPr="00394B2C">
        <w:rPr>
          <w:rFonts w:ascii="Trebuchet MS" w:hAnsi="Trebuchet MS" w:cs="Calibri"/>
          <w:b/>
          <w:noProof/>
        </w:rPr>
        <w:pict>
          <v:shape id="Picture 17" o:spid="_x0000_i1042" type="#_x0000_t75" style="width:460.8pt;height:345.6pt;visibility:visible">
            <v:imagedata r:id="rId22" o:title=""/>
          </v:shape>
        </w:pict>
      </w:r>
    </w:p>
    <w:p w:rsidR="00B978E1" w:rsidRPr="00394B2C" w:rsidRDefault="00B978E1" w:rsidP="00394B2C">
      <w:pPr>
        <w:spacing w:after="0" w:line="360" w:lineRule="auto"/>
        <w:jc w:val="center"/>
        <w:rPr>
          <w:rFonts w:ascii="Trebuchet MS" w:hAnsi="Trebuchet MS" w:cs="Calibri"/>
          <w:b/>
          <w:bCs/>
          <w:lang w:val="ro-RO"/>
        </w:rPr>
      </w:pPr>
    </w:p>
    <w:p w:rsidR="00B978E1" w:rsidRPr="00394B2C" w:rsidRDefault="00B978E1" w:rsidP="00394B2C">
      <w:pPr>
        <w:tabs>
          <w:tab w:val="left" w:pos="567"/>
        </w:tabs>
        <w:spacing w:after="0" w:line="360" w:lineRule="auto"/>
        <w:ind w:firstLine="567"/>
        <w:jc w:val="both"/>
        <w:rPr>
          <w:rFonts w:ascii="Trebuchet MS" w:hAnsi="Trebuchet MS" w:cs="Calibri"/>
          <w:b/>
          <w:bCs/>
          <w:lang w:val="ro-RO"/>
        </w:rPr>
      </w:pPr>
      <w:r w:rsidRPr="00394B2C">
        <w:rPr>
          <w:rFonts w:ascii="Trebuchet MS" w:hAnsi="Trebuchet MS" w:cs="Calibri"/>
          <w:b/>
          <w:bCs/>
          <w:lang w:val="ro-RO"/>
        </w:rPr>
        <w:t>Ce spun datele subiective</w:t>
      </w:r>
    </w:p>
    <w:p w:rsidR="00B978E1" w:rsidRPr="00394B2C" w:rsidRDefault="00B978E1" w:rsidP="00394B2C">
      <w:pPr>
        <w:tabs>
          <w:tab w:val="left" w:pos="567"/>
        </w:tabs>
        <w:spacing w:after="0" w:line="360" w:lineRule="auto"/>
        <w:ind w:firstLine="567"/>
        <w:jc w:val="both"/>
        <w:rPr>
          <w:rFonts w:ascii="Trebuchet MS" w:hAnsi="Trebuchet MS" w:cs="Calibri"/>
          <w:lang w:val="ro-RO"/>
        </w:rPr>
      </w:pPr>
      <w:r w:rsidRPr="00394B2C">
        <w:rPr>
          <w:rFonts w:ascii="Trebuchet MS" w:hAnsi="Trebuchet MS" w:cs="Calibri"/>
          <w:lang w:val="ro-RO"/>
        </w:rPr>
        <w:t>În această secțiune, pe baza sondajului RD12 realizat în cadrul proiectului, vom investiga percepțiile românilor despre siguranța alimentării cu energie. Vom începe printr-o analiză descriptivă a datelor, comparând, acolo unde există termen obiectiv de comparație, percepțiile subiective cu cele obiective, pentru a încheia printr-o modelare statistică a acestor evaluări, cu scopul de a determina dacă factorii socio-demografici tipici le pot explica.</w:t>
      </w:r>
    </w:p>
    <w:p w:rsidR="00B978E1" w:rsidRPr="00394B2C" w:rsidRDefault="00B978E1" w:rsidP="00394B2C">
      <w:pPr>
        <w:tabs>
          <w:tab w:val="left" w:pos="567"/>
        </w:tabs>
        <w:spacing w:after="0" w:line="360" w:lineRule="auto"/>
        <w:jc w:val="both"/>
        <w:rPr>
          <w:rFonts w:ascii="Trebuchet MS" w:hAnsi="Trebuchet MS" w:cs="Calibri"/>
          <w:lang w:val="ro-RO"/>
        </w:rPr>
      </w:pPr>
    </w:p>
    <w:p w:rsidR="00B978E1" w:rsidRPr="00394B2C" w:rsidRDefault="00B978E1" w:rsidP="00394B2C">
      <w:pPr>
        <w:tabs>
          <w:tab w:val="left" w:pos="567"/>
        </w:tabs>
        <w:spacing w:after="0" w:line="360" w:lineRule="auto"/>
        <w:ind w:firstLine="567"/>
        <w:jc w:val="center"/>
        <w:rPr>
          <w:rFonts w:ascii="Trebuchet MS" w:hAnsi="Trebuchet MS" w:cs="Calibri"/>
          <w:b/>
          <w:bCs/>
          <w:lang w:val="ro-RO"/>
        </w:rPr>
      </w:pPr>
      <w:r>
        <w:rPr>
          <w:rFonts w:ascii="Trebuchet MS" w:hAnsi="Trebuchet MS" w:cs="Calibri"/>
          <w:b/>
          <w:bCs/>
          <w:lang w:val="ro-RO"/>
        </w:rPr>
        <w:br w:type="page"/>
      </w:r>
      <w:r w:rsidRPr="00394B2C">
        <w:rPr>
          <w:rFonts w:ascii="Trebuchet MS" w:hAnsi="Trebuchet MS" w:cs="Calibri"/>
          <w:b/>
          <w:bCs/>
          <w:lang w:val="ro-RO"/>
        </w:rPr>
        <w:t>Figura 17 – Evaluări privind siguranța alimentării cu energie (sondaj de opinie RD12)</w:t>
      </w:r>
    </w:p>
    <w:p w:rsidR="00B978E1" w:rsidRPr="00394B2C" w:rsidRDefault="00B978E1" w:rsidP="00394B2C">
      <w:pPr>
        <w:tabs>
          <w:tab w:val="left" w:pos="567"/>
        </w:tabs>
        <w:spacing w:after="0" w:line="360" w:lineRule="auto"/>
        <w:ind w:firstLine="567"/>
        <w:rPr>
          <w:rFonts w:ascii="Trebuchet MS" w:hAnsi="Trebuchet MS" w:cs="Calibri"/>
          <w:b/>
          <w:bCs/>
          <w:lang w:val="ro-RO"/>
        </w:rPr>
      </w:pPr>
      <w:r w:rsidRPr="00394B2C">
        <w:rPr>
          <w:rFonts w:ascii="Trebuchet MS" w:hAnsi="Trebuchet MS" w:cs="Calibri"/>
          <w:b/>
          <w:noProof/>
        </w:rPr>
        <w:pict>
          <v:shape id="Picture 18" o:spid="_x0000_i1043" type="#_x0000_t75" style="width:463.8pt;height:309pt;visibility:visible">
            <v:imagedata r:id="rId23" o:title=""/>
          </v:shape>
        </w:pict>
      </w:r>
    </w:p>
    <w:p w:rsidR="00B978E1" w:rsidRPr="00394B2C" w:rsidRDefault="00B978E1" w:rsidP="00394B2C">
      <w:pPr>
        <w:tabs>
          <w:tab w:val="left" w:pos="567"/>
        </w:tabs>
        <w:spacing w:after="0" w:line="360" w:lineRule="auto"/>
        <w:ind w:firstLine="567"/>
        <w:jc w:val="both"/>
        <w:rPr>
          <w:rFonts w:ascii="Trebuchet MS" w:hAnsi="Trebuchet MS" w:cs="Calibri"/>
          <w:lang w:val="ro-RO"/>
        </w:rPr>
      </w:pPr>
    </w:p>
    <w:p w:rsidR="00B978E1" w:rsidRPr="00394B2C" w:rsidRDefault="00B978E1" w:rsidP="00394B2C">
      <w:pPr>
        <w:tabs>
          <w:tab w:val="left" w:pos="567"/>
        </w:tabs>
        <w:spacing w:after="0" w:line="360" w:lineRule="auto"/>
        <w:ind w:firstLine="567"/>
        <w:jc w:val="both"/>
        <w:rPr>
          <w:rFonts w:ascii="Trebuchet MS" w:hAnsi="Trebuchet MS" w:cs="Calibri"/>
          <w:shd w:val="clear" w:color="auto" w:fill="FFFFFF"/>
          <w:lang w:val="ro-RO"/>
        </w:rPr>
      </w:pPr>
      <w:r w:rsidRPr="00394B2C">
        <w:rPr>
          <w:rFonts w:ascii="Trebuchet MS" w:hAnsi="Trebuchet MS" w:cs="Calibri"/>
          <w:lang w:val="ro-RO"/>
        </w:rPr>
        <w:t xml:space="preserve">Începem cu prezentarea rezultatelor descriptive, surprinse în </w:t>
      </w:r>
      <w:r w:rsidRPr="00394B2C">
        <w:rPr>
          <w:rFonts w:ascii="Trebuchet MS" w:hAnsi="Trebuchet MS" w:cs="Calibri"/>
          <w:i/>
          <w:iCs/>
          <w:lang w:val="ro-RO"/>
        </w:rPr>
        <w:t>Figura 17</w:t>
      </w:r>
      <w:r w:rsidRPr="00394B2C">
        <w:rPr>
          <w:rFonts w:ascii="Trebuchet MS" w:hAnsi="Trebuchet MS" w:cs="Calibri"/>
          <w:lang w:val="ro-RO"/>
        </w:rPr>
        <w:t xml:space="preserve">. Procentele sunt calculate din răspunsuri valide, ceea ce înseamnă că sunt excluși din analiză cei care nu știu sau nu răspund. Pentru început, vedem că 86% dintre români sunt total de acord sau oarecum de acord că </w:t>
      </w:r>
      <w:r w:rsidRPr="00394B2C">
        <w:rPr>
          <w:rFonts w:ascii="Trebuchet MS" w:hAnsi="Trebuchet MS" w:cs="Calibri"/>
          <w:bCs/>
          <w:lang w:val="ro-RO"/>
        </w:rPr>
        <w:t>sistemele energetice sunt interconectate la nivel național și regional, ceea ce nu este confirmat de către realitate. De exemplu, România abia a finalizat la sfârșitul lui 2020 faza I din proiectul BRUA, care ar urma să faciliteze transportul de gaze naturale către Ungaria și Bulgaria, dar mai are suficient de lucru pentru ca această conductă să devină operațională</w:t>
      </w:r>
      <w:r w:rsidRPr="00394B2C">
        <w:rPr>
          <w:rStyle w:val="FootnoteReference"/>
          <w:rFonts w:ascii="Trebuchet MS" w:hAnsi="Trebuchet MS" w:cs="Calibri"/>
          <w:bCs/>
          <w:lang w:val="ro-RO"/>
        </w:rPr>
        <w:footnoteReference w:id="10"/>
      </w:r>
      <w:r w:rsidRPr="00394B2C">
        <w:rPr>
          <w:rFonts w:ascii="Trebuchet MS" w:hAnsi="Trebuchet MS" w:cs="Calibri"/>
          <w:bCs/>
          <w:lang w:val="ro-RO"/>
        </w:rPr>
        <w:t>. În plus, în draftul de Strategie Energetică a României 2020 -2030, cu perspectiva anului 2050</w:t>
      </w:r>
      <w:r w:rsidRPr="00394B2C">
        <w:rPr>
          <w:rStyle w:val="FootnoteReference"/>
          <w:rFonts w:ascii="Trebuchet MS" w:hAnsi="Trebuchet MS" w:cs="Calibri"/>
          <w:bCs/>
          <w:lang w:val="ro-RO"/>
        </w:rPr>
        <w:footnoteReference w:id="11"/>
      </w:r>
      <w:r w:rsidRPr="00394B2C">
        <w:rPr>
          <w:rFonts w:ascii="Trebuchet MS" w:hAnsi="Trebuchet MS" w:cs="Calibri"/>
          <w:bCs/>
          <w:lang w:val="ro-RO"/>
        </w:rPr>
        <w:t xml:space="preserve">, unul dintre obiective ține de </w:t>
      </w:r>
      <w:r w:rsidRPr="00394B2C">
        <w:rPr>
          <w:rFonts w:ascii="Trebuchet MS" w:hAnsi="Trebuchet MS" w:cs="Calibri"/>
          <w:lang w:val="ro-RO"/>
        </w:rPr>
        <w:t xml:space="preserve">“realizarea și finalizarea, după caz, a interconectărilor transfrontaliere cu țările vecine (State Membre UE și state terțe), atât pentru gaze naturale, cât și pentru energia electrică” (p. 17). BRUA este o prioritate, la fel și “dezvoltarea pe teritoriul României a Coridorului Sudic de Transport pentru preluarea gazelor naturale de la țărmul Mării Negre”. La aceste se adaugă operaționalizarea interconectărilor cu Republica Moldova, în ceea ce privește conducta de gaze naturale </w:t>
      </w:r>
      <w:r w:rsidRPr="00394B2C">
        <w:rPr>
          <w:rFonts w:ascii="Trebuchet MS" w:hAnsi="Trebuchet MS" w:cs="Calibri"/>
          <w:shd w:val="clear" w:color="auto" w:fill="FFFFFF"/>
          <w:lang w:val="ro-RO"/>
        </w:rPr>
        <w:t>Iași-Ungheni-Chișinău și intensificarea interconectării în domeniul energiei electrice. Românii sunt deci mult mai optimiști decât o arată realitatea din teren.</w:t>
      </w:r>
    </w:p>
    <w:p w:rsidR="00B978E1" w:rsidRPr="00394B2C" w:rsidRDefault="00B978E1" w:rsidP="00394B2C">
      <w:pPr>
        <w:tabs>
          <w:tab w:val="left" w:pos="567"/>
        </w:tabs>
        <w:spacing w:after="0" w:line="360" w:lineRule="auto"/>
        <w:ind w:firstLine="567"/>
        <w:jc w:val="both"/>
        <w:rPr>
          <w:rFonts w:ascii="Trebuchet MS" w:hAnsi="Trebuchet MS" w:cs="Calibri"/>
          <w:shd w:val="clear" w:color="auto" w:fill="FFFFFF"/>
          <w:lang w:val="ro-RO"/>
        </w:rPr>
      </w:pPr>
      <w:r w:rsidRPr="00394B2C">
        <w:rPr>
          <w:rFonts w:ascii="Trebuchet MS" w:hAnsi="Trebuchet MS" w:cs="Calibri"/>
          <w:shd w:val="clear" w:color="auto" w:fill="FFFFFF"/>
          <w:lang w:val="ro-RO"/>
        </w:rPr>
        <w:t>79% dintre români cred că piața de energie este liberalizată, deși, la momentul în care răspundeau sondajului de opinie (decembrie 2020), acest lucru nu se întâmplase tehnic. Așa cum am văzut în dezbaterea publică intensă de la începutul acestui an, piața de energie electrică s-a liberalizat de la 1 ianuarie 2021, dar continuă să există probleme cu informarea consumatorilor</w:t>
      </w:r>
      <w:r w:rsidRPr="00394B2C">
        <w:rPr>
          <w:rStyle w:val="FootnoteReference"/>
          <w:rFonts w:ascii="Trebuchet MS" w:hAnsi="Trebuchet MS" w:cs="Calibri"/>
          <w:shd w:val="clear" w:color="auto" w:fill="FFFFFF"/>
          <w:lang w:val="ro-RO"/>
        </w:rPr>
        <w:footnoteReference w:id="12"/>
      </w:r>
      <w:r w:rsidRPr="00394B2C">
        <w:rPr>
          <w:rFonts w:ascii="Trebuchet MS" w:hAnsi="Trebuchet MS" w:cs="Calibri"/>
          <w:shd w:val="clear" w:color="auto" w:fill="FFFFFF"/>
          <w:lang w:val="ro-RO"/>
        </w:rPr>
        <w:t>. Potrivit unui studiu al Reveal Marketing Research din ianuarie 2021 citat de Ziarul Financiar, 88% dintre români declară că știau că piața de energie electrică s-a liberalizat de la 1 ianuarie 2021. Piața de gaze naturale este complet liberalizată de la 1 iulie 2020.</w:t>
      </w:r>
      <w:r w:rsidRPr="00394B2C">
        <w:rPr>
          <w:rStyle w:val="FootnoteReference"/>
          <w:rFonts w:ascii="Trebuchet MS" w:hAnsi="Trebuchet MS" w:cs="Calibri"/>
          <w:shd w:val="clear" w:color="auto" w:fill="FFFFFF"/>
          <w:lang w:val="ro-RO"/>
        </w:rPr>
        <w:footnoteReference w:id="13"/>
      </w:r>
    </w:p>
    <w:p w:rsidR="00B978E1" w:rsidRPr="00394B2C" w:rsidRDefault="00B978E1" w:rsidP="00394B2C">
      <w:pPr>
        <w:tabs>
          <w:tab w:val="left" w:pos="567"/>
        </w:tabs>
        <w:spacing w:after="0" w:line="360" w:lineRule="auto"/>
        <w:ind w:firstLine="567"/>
        <w:jc w:val="both"/>
        <w:rPr>
          <w:rFonts w:ascii="Trebuchet MS" w:hAnsi="Trebuchet MS" w:cs="Calibri"/>
          <w:shd w:val="clear" w:color="auto" w:fill="FFFFFF"/>
          <w:lang w:val="ro-RO"/>
        </w:rPr>
      </w:pPr>
      <w:r w:rsidRPr="00394B2C">
        <w:rPr>
          <w:rFonts w:ascii="Trebuchet MS" w:hAnsi="Trebuchet MS" w:cs="Calibri"/>
          <w:shd w:val="clear" w:color="auto" w:fill="FFFFFF"/>
          <w:lang w:val="ro-RO"/>
        </w:rPr>
        <w:t xml:space="preserve">78% dintre români sunt total de acord și oarecum de acord că România are suficiente resurse energetice regenerabile, ceea ce este parțial confirmat de ponderea energiei regenerabile în consumul final brut de energie – vezi </w:t>
      </w:r>
      <w:r w:rsidRPr="00394B2C">
        <w:rPr>
          <w:rFonts w:ascii="Trebuchet MS" w:hAnsi="Trebuchet MS" w:cs="Calibri"/>
          <w:i/>
          <w:iCs/>
          <w:shd w:val="clear" w:color="auto" w:fill="FFFFFF"/>
          <w:lang w:val="ro-RO"/>
        </w:rPr>
        <w:t xml:space="preserve">Figura 8. </w:t>
      </w:r>
      <w:r w:rsidRPr="00394B2C">
        <w:rPr>
          <w:rFonts w:ascii="Trebuchet MS" w:hAnsi="Trebuchet MS" w:cs="Calibri"/>
          <w:shd w:val="clear" w:color="auto" w:fill="FFFFFF"/>
          <w:lang w:val="ro-RO"/>
        </w:rPr>
        <w:t>Mai mult, potrivit datelor Eurostat, în 2019, România era pe locul 10 în UE28 la ponderea energiei regenerabile din consumul final brut de energie, în timp ce topul european era condus de Suedia (56,4%), Finlanda (43,1%) și Letonia (41%). Potențialul României este unul real, dar rămâne să fie depășită plafonarea creșterii (sau chiar scăderile) de după 2014.</w:t>
      </w:r>
    </w:p>
    <w:p w:rsidR="00B978E1" w:rsidRPr="00394B2C" w:rsidRDefault="00B978E1" w:rsidP="00394B2C">
      <w:pPr>
        <w:tabs>
          <w:tab w:val="left" w:pos="567"/>
        </w:tabs>
        <w:spacing w:after="0" w:line="360" w:lineRule="auto"/>
        <w:ind w:firstLine="567"/>
        <w:jc w:val="both"/>
        <w:rPr>
          <w:rFonts w:ascii="Trebuchet MS" w:hAnsi="Trebuchet MS" w:cs="Calibri"/>
          <w:shd w:val="clear" w:color="auto" w:fill="FFFFFF"/>
          <w:lang w:val="ro-RO"/>
        </w:rPr>
      </w:pPr>
      <w:r w:rsidRPr="00394B2C">
        <w:rPr>
          <w:rFonts w:ascii="Trebuchet MS" w:hAnsi="Trebuchet MS" w:cs="Calibri"/>
          <w:shd w:val="clear" w:color="auto" w:fill="FFFFFF"/>
          <w:lang w:val="ro-RO"/>
        </w:rPr>
        <w:t>Puși să aleagă ce tip de energie ar preferă să folosească, 71% dintre români indică energia regenerabilă. Totuși, așa cum am văzut pe baza datelor obiective, aceasta reprezenta doar 24,3% din ponderea totală a consumului brut de energie în 2019. Această distanță trebuie însă interpretată în sens pozitiv, ca o așteptare a românilor de îndeplinit în viitor prin politici publice inteligente, care să promoveze și să facă mai ușor accesul românilor la aceste forme verzi de energie. Aici ar fi mai mult de lucru, pentru că doar 53% dintre români sunt de părere că energia regenerabilă este bine promovată.</w:t>
      </w:r>
    </w:p>
    <w:p w:rsidR="00B978E1" w:rsidRPr="00394B2C" w:rsidRDefault="00B978E1" w:rsidP="00394B2C">
      <w:pPr>
        <w:tabs>
          <w:tab w:val="left" w:pos="567"/>
        </w:tabs>
        <w:spacing w:after="0" w:line="360" w:lineRule="auto"/>
        <w:ind w:firstLine="567"/>
        <w:jc w:val="both"/>
        <w:rPr>
          <w:rFonts w:ascii="Trebuchet MS" w:hAnsi="Trebuchet MS" w:cs="Calibri"/>
          <w:shd w:val="clear" w:color="auto" w:fill="FFFFFF"/>
          <w:lang w:val="ro-RO"/>
        </w:rPr>
      </w:pPr>
      <w:r w:rsidRPr="00394B2C">
        <w:rPr>
          <w:rFonts w:ascii="Trebuchet MS" w:hAnsi="Trebuchet MS" w:cs="Calibri"/>
          <w:shd w:val="clear" w:color="auto" w:fill="FFFFFF"/>
          <w:lang w:val="ro-RO"/>
        </w:rPr>
        <w:t>69% dintre români sunt total de acord și oarecum de acord că există protecția consumatorului în domeniul consumului de energie, ceea ce este adevărat, iar ANRE are atribuții legislative în acest sens. De asemenea, 66% dintre români sunt total de acord și oarecum de acord că energia este folosită în mod eficient, ceea ce este oarecum adevărat dacă ne uităm la productivitatea energetică, unde, prin raportare la standardul de putere de cumpărare, performanța României este peste media UE28, peste Germania și peste Polonia – vezi</w:t>
      </w:r>
      <w:r w:rsidRPr="00394B2C">
        <w:rPr>
          <w:rFonts w:ascii="Trebuchet MS" w:hAnsi="Trebuchet MS" w:cs="Calibri"/>
          <w:i/>
          <w:iCs/>
          <w:shd w:val="clear" w:color="auto" w:fill="FFFFFF"/>
          <w:lang w:val="ro-RO"/>
        </w:rPr>
        <w:t xml:space="preserve"> Figura 7.</w:t>
      </w:r>
      <w:r w:rsidRPr="00394B2C">
        <w:rPr>
          <w:rFonts w:ascii="Trebuchet MS" w:hAnsi="Trebuchet MS" w:cs="Calibri"/>
          <w:shd w:val="clear" w:color="auto" w:fill="FFFFFF"/>
          <w:lang w:val="ro-RO"/>
        </w:rPr>
        <w:t xml:space="preserve"> La fel, 58% dintre români cred că resursele energetice sunt bine valorificate, ceea ce poate fi susținut prin analiza aceluiași indicator al productivității energetice.</w:t>
      </w:r>
    </w:p>
    <w:p w:rsidR="00B978E1" w:rsidRPr="00394B2C" w:rsidRDefault="00B978E1" w:rsidP="00394B2C">
      <w:pPr>
        <w:tabs>
          <w:tab w:val="left" w:pos="567"/>
        </w:tabs>
        <w:spacing w:after="0" w:line="360" w:lineRule="auto"/>
        <w:ind w:firstLine="567"/>
        <w:jc w:val="both"/>
        <w:rPr>
          <w:rFonts w:ascii="Trebuchet MS" w:hAnsi="Trebuchet MS" w:cs="Calibri"/>
          <w:shd w:val="clear" w:color="auto" w:fill="FFFFFF"/>
          <w:lang w:val="ro-RO"/>
        </w:rPr>
      </w:pPr>
      <w:r w:rsidRPr="00394B2C">
        <w:rPr>
          <w:rFonts w:ascii="Trebuchet MS" w:hAnsi="Trebuchet MS" w:cs="Calibri"/>
          <w:shd w:val="clear" w:color="auto" w:fill="FFFFFF"/>
          <w:lang w:val="ro-RO"/>
        </w:rPr>
        <w:t xml:space="preserve">64% dintre români spun că producția internă de energie este suficientă, dar, așa cum am văzut din </w:t>
      </w:r>
      <w:r w:rsidRPr="00394B2C">
        <w:rPr>
          <w:rFonts w:ascii="Trebuchet MS" w:hAnsi="Trebuchet MS" w:cs="Calibri"/>
          <w:i/>
          <w:iCs/>
          <w:shd w:val="clear" w:color="auto" w:fill="FFFFFF"/>
          <w:lang w:val="ro-RO"/>
        </w:rPr>
        <w:t>Figurile 12-15</w:t>
      </w:r>
      <w:r w:rsidRPr="00394B2C">
        <w:rPr>
          <w:rFonts w:ascii="Trebuchet MS" w:hAnsi="Trebuchet MS" w:cs="Calibri"/>
          <w:shd w:val="clear" w:color="auto" w:fill="FFFFFF"/>
          <w:lang w:val="ro-RO"/>
        </w:rPr>
        <w:t>, România nu se poate baza, cel puțin la acest moment, doar pe resursele interne și trebuie să importe energie. E drept, România este pe locul al treilea în UE la independența energetică, dar tot trebuia să importe 30,4% din necesarul de energie în 2019. De asemenea, doar 38% dintre români sunt de părere că România are nevoie de un import semnificativ de energie. Evident, este greu de determinat factual ce înseamnă “semnificativ” în acest context, dar faptul că România importa 30,4% din energia necesară în 2019 este totuși un aspect de luat în seamă. În același timp, doar 47% dintre români sunt de acord cu ideea ca România să exporte energie, ceea ce, dincolo de un evident naționalism energetic, ar putea fi susținut de argumentul că românii știu că nu avem suficientă producție de energie (ceea ce totuși nu apare din întrebările de mai sus), deci nu are sens să exportăm. Pur și simplu, mai mult de jumătate de români întrețin o anumită formă de naționalism energetic.</w:t>
      </w:r>
    </w:p>
    <w:p w:rsidR="00B978E1" w:rsidRPr="00394B2C" w:rsidRDefault="00B978E1" w:rsidP="00394B2C">
      <w:pPr>
        <w:tabs>
          <w:tab w:val="left" w:pos="567"/>
        </w:tabs>
        <w:spacing w:after="0" w:line="360" w:lineRule="auto"/>
        <w:ind w:firstLine="567"/>
        <w:jc w:val="both"/>
        <w:rPr>
          <w:rFonts w:ascii="Trebuchet MS" w:hAnsi="Trebuchet MS" w:cs="Calibri"/>
          <w:bCs/>
          <w:shd w:val="clear" w:color="auto" w:fill="FFFFFF"/>
          <w:lang w:val="ro-RO"/>
        </w:rPr>
      </w:pPr>
      <w:r w:rsidRPr="00394B2C">
        <w:rPr>
          <w:rFonts w:ascii="Trebuchet MS" w:hAnsi="Trebuchet MS" w:cs="Calibri"/>
          <w:shd w:val="clear" w:color="auto" w:fill="FFFFFF"/>
          <w:lang w:val="ro-RO"/>
        </w:rPr>
        <w:t xml:space="preserve">Pentru a finaliza această parte a analizei, 57% dintre români sunt total de acord și oarecum de acord cu afirmația că </w:t>
      </w:r>
      <w:r w:rsidRPr="00394B2C">
        <w:rPr>
          <w:rFonts w:ascii="Trebuchet MS" w:hAnsi="Trebuchet MS" w:cs="Calibri"/>
          <w:bCs/>
          <w:shd w:val="clear" w:color="auto" w:fill="FFFFFF"/>
          <w:lang w:val="ro-RO"/>
        </w:rPr>
        <w:t>sistemul energetic este bine păzit cibernetic împotriva atacurilor pe Internet. Există deci un nivel robust de încredere cu privire la capacitatea de protecție a sistemului în raport cu acest nou tip de amenințări, care, în trecut, au cauzat probleme unor țări întregi (a se vedea atacurile Rusiei asupra sistemelor energetice ale țărilor baltice</w:t>
      </w:r>
      <w:r w:rsidRPr="00394B2C">
        <w:rPr>
          <w:rStyle w:val="FootnoteReference"/>
          <w:rFonts w:ascii="Trebuchet MS" w:hAnsi="Trebuchet MS" w:cs="Calibri"/>
          <w:bCs/>
          <w:shd w:val="clear" w:color="auto" w:fill="FFFFFF"/>
          <w:lang w:val="ro-RO"/>
        </w:rPr>
        <w:footnoteReference w:id="14"/>
      </w:r>
      <w:r w:rsidRPr="00394B2C">
        <w:rPr>
          <w:rFonts w:ascii="Trebuchet MS" w:hAnsi="Trebuchet MS" w:cs="Calibri"/>
          <w:bCs/>
          <w:shd w:val="clear" w:color="auto" w:fill="FFFFFF"/>
          <w:lang w:val="ro-RO"/>
        </w:rPr>
        <w:t>).</w:t>
      </w:r>
    </w:p>
    <w:p w:rsidR="00B978E1" w:rsidRPr="00394B2C" w:rsidRDefault="00B978E1" w:rsidP="00394B2C">
      <w:pPr>
        <w:tabs>
          <w:tab w:val="left" w:pos="567"/>
        </w:tabs>
        <w:spacing w:after="0" w:line="360" w:lineRule="auto"/>
        <w:ind w:firstLine="567"/>
        <w:jc w:val="both"/>
        <w:rPr>
          <w:rFonts w:ascii="Trebuchet MS" w:hAnsi="Trebuchet MS" w:cs="Calibri"/>
          <w:bCs/>
          <w:shd w:val="clear" w:color="auto" w:fill="FFFFFF"/>
          <w:lang w:val="ro-RO"/>
        </w:rPr>
      </w:pPr>
      <w:r w:rsidRPr="00394B2C">
        <w:rPr>
          <w:rFonts w:ascii="Trebuchet MS" w:hAnsi="Trebuchet MS" w:cs="Calibri"/>
          <w:bCs/>
          <w:shd w:val="clear" w:color="auto" w:fill="FFFFFF"/>
          <w:lang w:val="ro-RO"/>
        </w:rPr>
        <w:t>Ca un punct final al analizei, prin intermediul unor regresii liniare, vom căuta să vedem factori socio-demografici explică în parte evaluările românilor despre sistemul energetic și despre siguranța alimentării cu energie.</w:t>
      </w:r>
    </w:p>
    <w:p w:rsidR="00B978E1" w:rsidRPr="00394B2C" w:rsidRDefault="00B978E1" w:rsidP="00394B2C">
      <w:pPr>
        <w:tabs>
          <w:tab w:val="left" w:pos="567"/>
        </w:tabs>
        <w:spacing w:after="0" w:line="360" w:lineRule="auto"/>
        <w:ind w:firstLine="567"/>
        <w:jc w:val="both"/>
        <w:rPr>
          <w:rFonts w:ascii="Trebuchet MS" w:hAnsi="Trebuchet MS" w:cs="Calibri"/>
          <w:bCs/>
          <w:shd w:val="clear" w:color="auto" w:fill="FFFFFF"/>
          <w:lang w:val="ro-RO"/>
        </w:rPr>
      </w:pPr>
    </w:p>
    <w:p w:rsidR="00B978E1" w:rsidRPr="00394B2C" w:rsidRDefault="00B978E1" w:rsidP="00394B2C">
      <w:pPr>
        <w:tabs>
          <w:tab w:val="left" w:pos="567"/>
        </w:tabs>
        <w:spacing w:after="0" w:line="360" w:lineRule="auto"/>
        <w:ind w:firstLine="567"/>
        <w:jc w:val="center"/>
        <w:rPr>
          <w:rFonts w:ascii="Trebuchet MS" w:hAnsi="Trebuchet MS" w:cs="Calibri"/>
          <w:b/>
          <w:shd w:val="clear" w:color="auto" w:fill="FFFFFF"/>
          <w:lang w:val="ro-RO"/>
        </w:rPr>
      </w:pPr>
      <w:r w:rsidRPr="00394B2C">
        <w:rPr>
          <w:rFonts w:ascii="Trebuchet MS" w:hAnsi="Trebuchet MS" w:cs="Calibri"/>
          <w:b/>
          <w:shd w:val="clear" w:color="auto" w:fill="FFFFFF"/>
          <w:lang w:val="ro-RO"/>
        </w:rPr>
        <w:t>Tabelul 1 – Modelări statistice privind evaluările românilor despre sistemul energetic - I (sondaj de opinie RD12)</w:t>
      </w:r>
    </w:p>
    <w:p w:rsidR="00B978E1" w:rsidRPr="00394B2C" w:rsidRDefault="00B978E1" w:rsidP="00394B2C">
      <w:pPr>
        <w:tabs>
          <w:tab w:val="left" w:pos="567"/>
        </w:tabs>
        <w:spacing w:after="0" w:line="360" w:lineRule="auto"/>
        <w:jc w:val="center"/>
        <w:rPr>
          <w:rFonts w:ascii="Trebuchet MS" w:hAnsi="Trebuchet MS" w:cs="Calibri"/>
          <w:b/>
          <w:shd w:val="clear" w:color="auto" w:fill="FFFFFF"/>
          <w:lang w:val="ro-RO"/>
        </w:rPr>
      </w:pPr>
      <w:r w:rsidRPr="00394B2C">
        <w:rPr>
          <w:rFonts w:ascii="Trebuchet MS" w:hAnsi="Trebuchet MS" w:cs="Calibri"/>
          <w:b/>
          <w:noProof/>
          <w:shd w:val="clear" w:color="auto" w:fill="FFFFFF"/>
        </w:rPr>
        <w:pict>
          <v:shape id="Picture 20" o:spid="_x0000_i1044" type="#_x0000_t75" style="width:374.4pt;height:412.2pt;visibility:visible">
            <v:imagedata r:id="rId24" o:title="" croptop="10110f" cropbottom="9886f" cropleft="6326f" cropright="6316f"/>
          </v:shape>
        </w:pict>
      </w:r>
    </w:p>
    <w:p w:rsidR="00B978E1" w:rsidRPr="00394B2C" w:rsidRDefault="00B978E1" w:rsidP="00394B2C">
      <w:pPr>
        <w:tabs>
          <w:tab w:val="left" w:pos="567"/>
        </w:tabs>
        <w:spacing w:after="0" w:line="360" w:lineRule="auto"/>
        <w:ind w:firstLine="567"/>
        <w:jc w:val="both"/>
        <w:rPr>
          <w:rFonts w:ascii="Trebuchet MS" w:hAnsi="Trebuchet MS" w:cs="Calibri"/>
          <w:bCs/>
          <w:shd w:val="clear" w:color="auto" w:fill="FFFFFF"/>
          <w:lang w:val="ro-RO"/>
        </w:rPr>
      </w:pPr>
      <w:r w:rsidRPr="00394B2C">
        <w:rPr>
          <w:rFonts w:ascii="Trebuchet MS" w:hAnsi="Trebuchet MS" w:cs="Calibri"/>
          <w:bCs/>
          <w:shd w:val="clear" w:color="auto" w:fill="FFFFFF"/>
          <w:lang w:val="ro-RO"/>
        </w:rPr>
        <w:t xml:space="preserve">Vom începe prin a discuta rezultatele din </w:t>
      </w:r>
      <w:r w:rsidRPr="00394B2C">
        <w:rPr>
          <w:rFonts w:ascii="Trebuchet MS" w:hAnsi="Trebuchet MS" w:cs="Calibri"/>
          <w:bCs/>
          <w:i/>
          <w:iCs/>
          <w:shd w:val="clear" w:color="auto" w:fill="FFFFFF"/>
          <w:lang w:val="ro-RO"/>
        </w:rPr>
        <w:t>Tabelul 1</w:t>
      </w:r>
      <w:r w:rsidRPr="00394B2C">
        <w:rPr>
          <w:rFonts w:ascii="Trebuchet MS" w:hAnsi="Trebuchet MS" w:cs="Calibri"/>
          <w:bCs/>
          <w:shd w:val="clear" w:color="auto" w:fill="FFFFFF"/>
          <w:lang w:val="ro-RO"/>
        </w:rPr>
        <w:t xml:space="preserve">. </w:t>
      </w:r>
      <w:r w:rsidRPr="00394B2C">
        <w:rPr>
          <w:rFonts w:ascii="Trebuchet MS" w:hAnsi="Trebuchet MS" w:cs="Calibri"/>
          <w:bCs/>
          <w:i/>
          <w:iCs/>
          <w:shd w:val="clear" w:color="auto" w:fill="FFFFFF"/>
          <w:lang w:val="ro-RO"/>
        </w:rPr>
        <w:t>Modelul 1</w:t>
      </w:r>
      <w:r w:rsidRPr="00394B2C">
        <w:rPr>
          <w:rFonts w:ascii="Trebuchet MS" w:hAnsi="Trebuchet MS" w:cs="Calibri"/>
          <w:bCs/>
          <w:shd w:val="clear" w:color="auto" w:fill="FFFFFF"/>
          <w:lang w:val="ro-RO"/>
        </w:rPr>
        <w:t xml:space="preserve"> caută să explice ce face ca un anumit respondent să spună că energia regenerabilă este sursa sa preferată de energie: femeile sunt cu 15% mai puțin probabil să spună acest lucru, la fel și cei mai în vârstă; cei cu studii superioare au o probabilitate de 17% mai mare decât cei cu studii medii să susțină această afirmație, la fel și studenții (+39% față de cei cu altă ocupație); cei din Sud-Vest (-27%) și cei din Vest (-33%) sunt mai puțin entuziasmați de energia regenerabilă comparativ cu cei din București – Ilfov. </w:t>
      </w:r>
      <w:r w:rsidRPr="00394B2C">
        <w:rPr>
          <w:rFonts w:ascii="Trebuchet MS" w:hAnsi="Trebuchet MS" w:cs="Calibri"/>
          <w:bCs/>
          <w:i/>
          <w:iCs/>
          <w:shd w:val="clear" w:color="auto" w:fill="FFFFFF"/>
          <w:lang w:val="ro-RO"/>
        </w:rPr>
        <w:t>Modelul 2</w:t>
      </w:r>
      <w:r w:rsidRPr="00394B2C">
        <w:rPr>
          <w:rFonts w:ascii="Trebuchet MS" w:hAnsi="Trebuchet MS" w:cs="Calibri"/>
          <w:bCs/>
          <w:shd w:val="clear" w:color="auto" w:fill="FFFFFF"/>
          <w:lang w:val="ro-RO"/>
        </w:rPr>
        <w:t xml:space="preserve"> se uită la ce îi face pe respondenți să spună că producția internă de energie este suficientă: cei mai în vârstă sunt mai probabil să creadă acest lucru; la fel și cei din regiunile Centru (+37%), Nord-Est (+31%), Nord-Vest (+38%) și Sud-Est (+35%); pe de altă parte, sunt mai puțin probabil să susțină afirmația cei din urbanul foarte mare (-33%) și cei din urbanul mic și foarte mic (-38%). </w:t>
      </w:r>
      <w:r w:rsidRPr="00394B2C">
        <w:rPr>
          <w:rFonts w:ascii="Trebuchet MS" w:hAnsi="Trebuchet MS" w:cs="Calibri"/>
          <w:bCs/>
          <w:i/>
          <w:iCs/>
          <w:shd w:val="clear" w:color="auto" w:fill="FFFFFF"/>
          <w:lang w:val="ro-RO"/>
        </w:rPr>
        <w:t xml:space="preserve">Modelul 3 </w:t>
      </w:r>
      <w:r w:rsidRPr="00394B2C">
        <w:rPr>
          <w:rFonts w:ascii="Trebuchet MS" w:hAnsi="Trebuchet MS" w:cs="Calibri"/>
          <w:bCs/>
          <w:shd w:val="clear" w:color="auto" w:fill="FFFFFF"/>
          <w:lang w:val="ro-RO"/>
        </w:rPr>
        <w:t xml:space="preserve">vrea să explice determinanții evaluării legate de susținerea afirmației că România are nevoie de import semnificativ de energie: femeile cred mai degrabă acest lucru (16%), precum și cei cu educație primară (20%) și cei din alt tip de localități decât București; au probabilitate mai mică să împărtășească această opinie cei mai în vârstă și cei cu studii superioare (-17%). În fine, </w:t>
      </w:r>
      <w:r w:rsidRPr="00394B2C">
        <w:rPr>
          <w:rFonts w:ascii="Trebuchet MS" w:hAnsi="Trebuchet MS" w:cs="Calibri"/>
          <w:bCs/>
          <w:i/>
          <w:iCs/>
          <w:shd w:val="clear" w:color="auto" w:fill="FFFFFF"/>
          <w:lang w:val="ro-RO"/>
        </w:rPr>
        <w:t>modelul 4</w:t>
      </w:r>
      <w:r w:rsidRPr="00394B2C">
        <w:rPr>
          <w:rFonts w:ascii="Trebuchet MS" w:hAnsi="Trebuchet MS" w:cs="Calibri"/>
          <w:bCs/>
          <w:shd w:val="clear" w:color="auto" w:fill="FFFFFF"/>
          <w:lang w:val="ro-RO"/>
        </w:rPr>
        <w:t xml:space="preserve"> se uită la acordul privind exportul de energie din România: femeile sunt mai puțin de acord (-19%) cu exportul, la fel și cei din restul regiunilor de dezvoltare, comparativ cu cei din București-Ilfov.</w:t>
      </w:r>
    </w:p>
    <w:p w:rsidR="00B978E1" w:rsidRPr="00394B2C" w:rsidRDefault="00B978E1" w:rsidP="00394B2C">
      <w:pPr>
        <w:tabs>
          <w:tab w:val="left" w:pos="567"/>
        </w:tabs>
        <w:spacing w:after="0" w:line="360" w:lineRule="auto"/>
        <w:ind w:firstLine="567"/>
        <w:jc w:val="center"/>
        <w:rPr>
          <w:rFonts w:ascii="Trebuchet MS" w:hAnsi="Trebuchet MS" w:cs="Calibri"/>
          <w:b/>
          <w:shd w:val="clear" w:color="auto" w:fill="FFFFFF"/>
          <w:lang w:val="ro-RO"/>
        </w:rPr>
      </w:pPr>
      <w:r w:rsidRPr="00394B2C">
        <w:rPr>
          <w:rFonts w:ascii="Trebuchet MS" w:hAnsi="Trebuchet MS" w:cs="Calibri"/>
          <w:b/>
          <w:shd w:val="clear" w:color="auto" w:fill="FFFFFF"/>
          <w:lang w:val="ro-RO"/>
        </w:rPr>
        <w:t>Tabelul 2 – Modelări statistice privind evaluările românilor despre sistemul energetic - II (sondaj de opinie RD12)</w:t>
      </w:r>
    </w:p>
    <w:p w:rsidR="00B978E1" w:rsidRPr="00394B2C" w:rsidRDefault="00B978E1" w:rsidP="00394B2C">
      <w:pPr>
        <w:tabs>
          <w:tab w:val="left" w:pos="567"/>
        </w:tabs>
        <w:spacing w:after="0" w:line="360" w:lineRule="auto"/>
        <w:jc w:val="center"/>
        <w:rPr>
          <w:rFonts w:ascii="Trebuchet MS" w:hAnsi="Trebuchet MS" w:cs="Calibri"/>
          <w:b/>
          <w:shd w:val="clear" w:color="auto" w:fill="FFFFFF"/>
          <w:lang w:val="ro-RO"/>
        </w:rPr>
      </w:pPr>
      <w:r w:rsidRPr="00394B2C">
        <w:rPr>
          <w:rFonts w:ascii="Trebuchet MS" w:hAnsi="Trebuchet MS" w:cs="Calibri"/>
          <w:b/>
          <w:noProof/>
          <w:shd w:val="clear" w:color="auto" w:fill="FFFFFF"/>
        </w:rPr>
        <w:pict>
          <v:shape id="Picture 21" o:spid="_x0000_i1045" type="#_x0000_t75" style="width:374.4pt;height:309.6pt;visibility:visible">
            <v:imagedata r:id="rId25" o:title="" croptop="15850f" cropbottom="16011f" cropleft="6423f" cropright="6273f"/>
          </v:shape>
        </w:pict>
      </w:r>
    </w:p>
    <w:p w:rsidR="00B978E1" w:rsidRPr="00394B2C" w:rsidRDefault="00B978E1" w:rsidP="00394B2C">
      <w:pPr>
        <w:tabs>
          <w:tab w:val="left" w:pos="567"/>
        </w:tabs>
        <w:spacing w:after="0" w:line="360" w:lineRule="auto"/>
        <w:ind w:firstLine="567"/>
        <w:jc w:val="both"/>
        <w:rPr>
          <w:rFonts w:ascii="Trebuchet MS" w:hAnsi="Trebuchet MS" w:cs="Calibri"/>
          <w:bCs/>
          <w:shd w:val="clear" w:color="auto" w:fill="FFFFFF"/>
          <w:lang w:val="ro-RO"/>
        </w:rPr>
      </w:pPr>
      <w:r w:rsidRPr="00394B2C">
        <w:rPr>
          <w:rFonts w:ascii="Trebuchet MS" w:hAnsi="Trebuchet MS" w:cs="Calibri"/>
          <w:bCs/>
          <w:shd w:val="clear" w:color="auto" w:fill="FFFFFF"/>
          <w:lang w:val="ro-RO"/>
        </w:rPr>
        <w:t xml:space="preserve">Încheiem analiza cu alte evaluări privind sistemul energetic, extrăgând cele mai relevante concluzii din </w:t>
      </w:r>
      <w:r w:rsidRPr="00394B2C">
        <w:rPr>
          <w:rFonts w:ascii="Trebuchet MS" w:hAnsi="Trebuchet MS" w:cs="Calibri"/>
          <w:bCs/>
          <w:i/>
          <w:iCs/>
          <w:shd w:val="clear" w:color="auto" w:fill="FFFFFF"/>
          <w:lang w:val="ro-RO"/>
        </w:rPr>
        <w:t>Tabelul 2</w:t>
      </w:r>
      <w:r w:rsidRPr="00394B2C">
        <w:rPr>
          <w:rFonts w:ascii="Trebuchet MS" w:hAnsi="Trebuchet MS" w:cs="Calibri"/>
          <w:bCs/>
          <w:shd w:val="clear" w:color="auto" w:fill="FFFFFF"/>
          <w:lang w:val="ro-RO"/>
        </w:rPr>
        <w:t xml:space="preserve">. Cei cu educație primară (-16%) sunt mai puțin probabil să creadă că piața de energie este liberalizată, de unde și mai multă nevoie de informare – </w:t>
      </w:r>
      <w:r w:rsidRPr="00394B2C">
        <w:rPr>
          <w:rFonts w:ascii="Trebuchet MS" w:hAnsi="Trebuchet MS" w:cs="Calibri"/>
          <w:bCs/>
          <w:i/>
          <w:iCs/>
          <w:shd w:val="clear" w:color="auto" w:fill="FFFFFF"/>
          <w:lang w:val="ro-RO"/>
        </w:rPr>
        <w:t>modelul 1</w:t>
      </w:r>
      <w:r w:rsidRPr="00394B2C">
        <w:rPr>
          <w:rFonts w:ascii="Trebuchet MS" w:hAnsi="Trebuchet MS" w:cs="Calibri"/>
          <w:bCs/>
          <w:shd w:val="clear" w:color="auto" w:fill="FFFFFF"/>
          <w:lang w:val="ro-RO"/>
        </w:rPr>
        <w:t xml:space="preserve">. Tot cei cu educație primară au o probabilitate mai mică (-10%) să spună că sistemele energetice sunt interconectate – </w:t>
      </w:r>
      <w:r w:rsidRPr="00394B2C">
        <w:rPr>
          <w:rFonts w:ascii="Trebuchet MS" w:hAnsi="Trebuchet MS" w:cs="Calibri"/>
          <w:bCs/>
          <w:i/>
          <w:iCs/>
          <w:shd w:val="clear" w:color="auto" w:fill="FFFFFF"/>
          <w:lang w:val="ro-RO"/>
        </w:rPr>
        <w:t>modelul 2</w:t>
      </w:r>
      <w:r w:rsidRPr="00394B2C">
        <w:rPr>
          <w:rFonts w:ascii="Trebuchet MS" w:hAnsi="Trebuchet MS" w:cs="Calibri"/>
          <w:bCs/>
          <w:shd w:val="clear" w:color="auto" w:fill="FFFFFF"/>
          <w:lang w:val="ro-RO"/>
        </w:rPr>
        <w:t xml:space="preserve">. Cei cu studii superioare au o probabilitate mai mare (15%) să spună că resursele energetice nu sunt bine valorificate – </w:t>
      </w:r>
      <w:r w:rsidRPr="00394B2C">
        <w:rPr>
          <w:rFonts w:ascii="Trebuchet MS" w:hAnsi="Trebuchet MS" w:cs="Calibri"/>
          <w:bCs/>
          <w:i/>
          <w:iCs/>
          <w:shd w:val="clear" w:color="auto" w:fill="FFFFFF"/>
          <w:lang w:val="ro-RO"/>
        </w:rPr>
        <w:t>modelul 3</w:t>
      </w:r>
      <w:r w:rsidRPr="00394B2C">
        <w:rPr>
          <w:rFonts w:ascii="Trebuchet MS" w:hAnsi="Trebuchet MS" w:cs="Calibri"/>
          <w:bCs/>
          <w:shd w:val="clear" w:color="auto" w:fill="FFFFFF"/>
          <w:lang w:val="ro-RO"/>
        </w:rPr>
        <w:t xml:space="preserve">. La fel, tot ei sunt mai puțin probabil (21%) să creadă că resursele regenerabile sunt bine promovate – </w:t>
      </w:r>
      <w:r w:rsidRPr="00394B2C">
        <w:rPr>
          <w:rFonts w:ascii="Trebuchet MS" w:hAnsi="Trebuchet MS" w:cs="Calibri"/>
          <w:bCs/>
          <w:i/>
          <w:iCs/>
          <w:shd w:val="clear" w:color="auto" w:fill="FFFFFF"/>
          <w:lang w:val="ro-RO"/>
        </w:rPr>
        <w:t>modelul 4 –</w:t>
      </w:r>
      <w:r w:rsidRPr="00394B2C">
        <w:rPr>
          <w:rFonts w:ascii="Trebuchet MS" w:hAnsi="Trebuchet MS" w:cs="Calibri"/>
          <w:bCs/>
          <w:shd w:val="clear" w:color="auto" w:fill="FFFFFF"/>
          <w:lang w:val="ro-RO"/>
        </w:rPr>
        <w:t xml:space="preserve"> și că energia este eficient folosită (-14%) – </w:t>
      </w:r>
      <w:r w:rsidRPr="00394B2C">
        <w:rPr>
          <w:rFonts w:ascii="Trebuchet MS" w:hAnsi="Trebuchet MS" w:cs="Calibri"/>
          <w:bCs/>
          <w:i/>
          <w:iCs/>
          <w:shd w:val="clear" w:color="auto" w:fill="FFFFFF"/>
          <w:lang w:val="ro-RO"/>
        </w:rPr>
        <w:t>modelul 5</w:t>
      </w:r>
      <w:r w:rsidRPr="00394B2C">
        <w:rPr>
          <w:rFonts w:ascii="Trebuchet MS" w:hAnsi="Trebuchet MS" w:cs="Calibri"/>
          <w:bCs/>
          <w:shd w:val="clear" w:color="auto" w:fill="FFFFFF"/>
          <w:lang w:val="ro-RO"/>
        </w:rPr>
        <w:t xml:space="preserve">. Cei din restul regiunilor de dezvoltare, comparativ cu București-Ilfov, au probabilități mai mici să afirme că protecția consumatorului de energie este prezentă – </w:t>
      </w:r>
      <w:r w:rsidRPr="00394B2C">
        <w:rPr>
          <w:rFonts w:ascii="Trebuchet MS" w:hAnsi="Trebuchet MS" w:cs="Calibri"/>
          <w:bCs/>
          <w:i/>
          <w:iCs/>
          <w:shd w:val="clear" w:color="auto" w:fill="FFFFFF"/>
          <w:lang w:val="ro-RO"/>
        </w:rPr>
        <w:t>modelul 6</w:t>
      </w:r>
      <w:r w:rsidRPr="00394B2C">
        <w:rPr>
          <w:rFonts w:ascii="Trebuchet MS" w:hAnsi="Trebuchet MS" w:cs="Calibri"/>
          <w:bCs/>
          <w:shd w:val="clear" w:color="auto" w:fill="FFFFFF"/>
          <w:lang w:val="ro-RO"/>
        </w:rPr>
        <w:t xml:space="preserve">. Comparativ cu cei din București, cei din alte tipuri de localități au probabilități mai mici să creadă că sistemul energetic este protejat de atacuri cibernetice – </w:t>
      </w:r>
      <w:r w:rsidRPr="00394B2C">
        <w:rPr>
          <w:rFonts w:ascii="Trebuchet MS" w:hAnsi="Trebuchet MS" w:cs="Calibri"/>
          <w:bCs/>
          <w:i/>
          <w:iCs/>
          <w:shd w:val="clear" w:color="auto" w:fill="FFFFFF"/>
          <w:lang w:val="ro-RO"/>
        </w:rPr>
        <w:t>modelul 7</w:t>
      </w:r>
      <w:r w:rsidRPr="00394B2C">
        <w:rPr>
          <w:rFonts w:ascii="Trebuchet MS" w:hAnsi="Trebuchet MS" w:cs="Calibri"/>
          <w:bCs/>
          <w:shd w:val="clear" w:color="auto" w:fill="FFFFFF"/>
          <w:lang w:val="ro-RO"/>
        </w:rPr>
        <w:t xml:space="preserve">; la fel, tot ei sunt mai puțin dispuși să spună că energia regenerabilă este suficientă în România – </w:t>
      </w:r>
      <w:r w:rsidRPr="00394B2C">
        <w:rPr>
          <w:rFonts w:ascii="Trebuchet MS" w:hAnsi="Trebuchet MS" w:cs="Calibri"/>
          <w:bCs/>
          <w:i/>
          <w:iCs/>
          <w:shd w:val="clear" w:color="auto" w:fill="FFFFFF"/>
          <w:lang w:val="ro-RO"/>
        </w:rPr>
        <w:t>modelul 8</w:t>
      </w:r>
      <w:r w:rsidRPr="00394B2C">
        <w:rPr>
          <w:rFonts w:ascii="Trebuchet MS" w:hAnsi="Trebuchet MS" w:cs="Calibri"/>
          <w:bCs/>
          <w:shd w:val="clear" w:color="auto" w:fill="FFFFFF"/>
          <w:lang w:val="ro-RO"/>
        </w:rPr>
        <w:t>.</w:t>
      </w:r>
    </w:p>
    <w:p w:rsidR="00B978E1" w:rsidRPr="00394B2C" w:rsidRDefault="00B978E1" w:rsidP="00394B2C">
      <w:pPr>
        <w:tabs>
          <w:tab w:val="left" w:pos="567"/>
        </w:tabs>
        <w:spacing w:after="0" w:line="360" w:lineRule="auto"/>
        <w:ind w:firstLine="567"/>
        <w:jc w:val="both"/>
        <w:rPr>
          <w:rFonts w:ascii="Trebuchet MS" w:hAnsi="Trebuchet MS" w:cs="Calibri"/>
          <w:bCs/>
          <w:shd w:val="clear" w:color="auto" w:fill="FFFFFF"/>
          <w:lang w:val="ro-RO"/>
        </w:rPr>
      </w:pPr>
    </w:p>
    <w:p w:rsidR="00B978E1" w:rsidRPr="00394B2C" w:rsidRDefault="00B978E1" w:rsidP="00394B2C">
      <w:pPr>
        <w:tabs>
          <w:tab w:val="left" w:pos="567"/>
        </w:tabs>
        <w:spacing w:after="0" w:line="360" w:lineRule="auto"/>
        <w:ind w:firstLine="567"/>
        <w:jc w:val="both"/>
        <w:rPr>
          <w:rFonts w:ascii="Trebuchet MS" w:hAnsi="Trebuchet MS" w:cs="Calibri"/>
          <w:b/>
          <w:shd w:val="clear" w:color="auto" w:fill="FFFFFF"/>
          <w:lang w:val="ro-RO"/>
        </w:rPr>
      </w:pPr>
      <w:r w:rsidRPr="00394B2C">
        <w:rPr>
          <w:rFonts w:ascii="Trebuchet MS" w:hAnsi="Trebuchet MS" w:cs="Calibri"/>
          <w:b/>
          <w:shd w:val="clear" w:color="auto" w:fill="FFFFFF"/>
          <w:lang w:val="ro-RO"/>
        </w:rPr>
        <w:t>Scurte concluzii</w:t>
      </w:r>
    </w:p>
    <w:p w:rsidR="00B978E1" w:rsidRPr="00394B2C" w:rsidRDefault="00B978E1" w:rsidP="00394B2C">
      <w:pPr>
        <w:tabs>
          <w:tab w:val="left" w:pos="567"/>
        </w:tabs>
        <w:spacing w:after="0" w:line="360" w:lineRule="auto"/>
        <w:ind w:firstLine="567"/>
        <w:jc w:val="both"/>
        <w:rPr>
          <w:rFonts w:ascii="Trebuchet MS" w:hAnsi="Trebuchet MS" w:cs="Calibri"/>
          <w:bCs/>
          <w:shd w:val="clear" w:color="auto" w:fill="FFFFFF"/>
          <w:lang w:val="ro-RO"/>
        </w:rPr>
      </w:pPr>
      <w:r w:rsidRPr="00394B2C">
        <w:rPr>
          <w:rFonts w:ascii="Trebuchet MS" w:hAnsi="Trebuchet MS" w:cs="Calibri"/>
          <w:bCs/>
          <w:shd w:val="clear" w:color="auto" w:fill="FFFFFF"/>
          <w:lang w:val="ro-RO"/>
        </w:rPr>
        <w:t>În această analiză, pe baza datelor obiective și subiective, am căutat să investigăm determinanții siguranței alimentării cu energie. Două principale concluzii se impun.</w:t>
      </w:r>
    </w:p>
    <w:p w:rsidR="00B978E1" w:rsidRPr="00394B2C" w:rsidRDefault="00B978E1" w:rsidP="00394B2C">
      <w:pPr>
        <w:tabs>
          <w:tab w:val="left" w:pos="567"/>
        </w:tabs>
        <w:spacing w:after="0" w:line="360" w:lineRule="auto"/>
        <w:ind w:firstLine="567"/>
        <w:jc w:val="both"/>
        <w:rPr>
          <w:rFonts w:ascii="Trebuchet MS" w:hAnsi="Trebuchet MS" w:cs="Calibri"/>
          <w:bCs/>
          <w:shd w:val="clear" w:color="auto" w:fill="FFFFFF"/>
          <w:lang w:val="ro-RO"/>
        </w:rPr>
      </w:pPr>
      <w:r w:rsidRPr="00394B2C">
        <w:rPr>
          <w:rFonts w:ascii="Trebuchet MS" w:hAnsi="Trebuchet MS" w:cs="Calibri"/>
          <w:bCs/>
          <w:shd w:val="clear" w:color="auto" w:fill="FFFFFF"/>
          <w:lang w:val="ro-RO"/>
        </w:rPr>
        <w:t>Datele obiective furnizează un tablou relativ optimist pentru România. În ultimele două decenii au scăzut atât consumul de energie primară, cât și finală, chiar dacă cea finală în gospodării a crescut. Productivitatea energetică a avut evoluții pozitive, iar, atunci când raportăm lucrurile la standardul puterii de cumpărare, există comparații favorabile în raport cu state europene pe care în foarte multe alte domenii nu reușim să le depășim. Energia regenerabilă este o resursă folosită în România, chiar peste media europeană, deși se observă o stagnare în ultimii ani. Suntem pe locul al treilea în UE ca independență energetică, deși tot trebuie să importăm aproximativ 30% din resursele de energie (în anul 2019). Emisiile de gaze cu efect de seră au scăzut după 2000, dar se poate face mai mult pentru accelerarea ritmului scăderii.</w:t>
      </w:r>
    </w:p>
    <w:p w:rsidR="00B978E1" w:rsidRPr="00394B2C" w:rsidRDefault="00B978E1" w:rsidP="00394B2C">
      <w:pPr>
        <w:tabs>
          <w:tab w:val="left" w:pos="567"/>
        </w:tabs>
        <w:spacing w:after="0" w:line="360" w:lineRule="auto"/>
        <w:ind w:firstLine="567"/>
        <w:jc w:val="both"/>
        <w:rPr>
          <w:rFonts w:ascii="Trebuchet MS" w:hAnsi="Trebuchet MS" w:cs="Calibri"/>
          <w:bCs/>
          <w:shd w:val="clear" w:color="auto" w:fill="FFFFFF"/>
          <w:lang w:val="ro-RO"/>
        </w:rPr>
      </w:pPr>
      <w:r w:rsidRPr="00394B2C">
        <w:rPr>
          <w:rFonts w:ascii="Trebuchet MS" w:hAnsi="Trebuchet MS" w:cs="Calibri"/>
          <w:bCs/>
          <w:shd w:val="clear" w:color="auto" w:fill="FFFFFF"/>
          <w:lang w:val="ro-RO"/>
        </w:rPr>
        <w:t>Sunt aspect subiectiv, românii preferă energia regenerabilă (71%), consideră majoritar că ea este suficientă (78%), dar sunt de părere că ea este insuficient promovată (47%) – este aici o fereastră de oportunitate, de a reduce distanța dintre folosirea efectivă a energiei regenerabile (24,3% din consumul final în 2019) și deschiderea românilor către acest tip de energie. De asemenea, discuția despre independența energetică a României trebuie pusă în cadrul firesc al cifrelor: chiar dacă stăm mai bine decât alte multe țări din UE, tot ajungem să importăm o parte importantă din necesarul de energie. Aici există poate cea mai mare falie dintre realitatea obiectivă și părerile românilor, care nu cred că noi importăm semnificativ energie și care au dezvoltat și un anumit patriotism energetic, cu doar 47% dintre ei fiind de acord cu exportul de energie. Un demers de educare publică pe teme energetice ar fi mai mult decât necesar.</w:t>
      </w:r>
    </w:p>
    <w:sectPr w:rsidR="00B978E1" w:rsidRPr="00394B2C" w:rsidSect="0024066D">
      <w:headerReference w:type="default" r:id="rId26"/>
      <w:footerReference w:type="default" r:id="rId27"/>
      <w:pgSz w:w="11906" w:h="16838"/>
      <w:pgMar w:top="720" w:right="1646" w:bottom="648"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8E1" w:rsidRDefault="00B978E1">
      <w:pPr>
        <w:spacing w:after="0"/>
      </w:pPr>
      <w:r>
        <w:separator/>
      </w:r>
    </w:p>
  </w:endnote>
  <w:endnote w:type="continuationSeparator" w:id="0">
    <w:p w:rsidR="00B978E1" w:rsidRDefault="00B978E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8E1" w:rsidRDefault="00B978E1">
    <w:pPr>
      <w:pStyle w:val="Footer"/>
      <w:rPr>
        <w:rFonts w:ascii="Trebuchet MS" w:hAnsi="Trebuchet MS"/>
        <w:i/>
        <w:iCs/>
        <w:color w:val="003399"/>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0" type="#_x0000_t75" style="position:absolute;margin-left:0;margin-top:-4.5pt;width:451.25pt;height:40.45pt;z-index:251662336;visibility:visible" wrapcoords="16971 0 -36 5200 -36 8800 10944 12800 16720 12800 9472 17600 9508 20000 10118 21200 10585 21200 10728 21200 11482 21200 17581 14000 19734 12800 21600 10000 21600 4000 17330 0 16971 0">
          <v:imagedata r:id="rId1" o:title=""/>
          <w10:wrap type="through"/>
        </v:shape>
      </w:pict>
    </w:r>
  </w:p>
  <w:p w:rsidR="00B978E1" w:rsidRDefault="00B978E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8E1" w:rsidRDefault="00B978E1">
      <w:pPr>
        <w:spacing w:after="0"/>
      </w:pPr>
      <w:r>
        <w:rPr>
          <w:color w:val="000000"/>
        </w:rPr>
        <w:separator/>
      </w:r>
    </w:p>
  </w:footnote>
  <w:footnote w:type="continuationSeparator" w:id="0">
    <w:p w:rsidR="00B978E1" w:rsidRDefault="00B978E1">
      <w:pPr>
        <w:spacing w:after="0"/>
      </w:pPr>
      <w:r>
        <w:continuationSeparator/>
      </w:r>
    </w:p>
  </w:footnote>
  <w:footnote w:id="1">
    <w:p w:rsidR="00B978E1" w:rsidRDefault="00B978E1" w:rsidP="00394B2C">
      <w:pPr>
        <w:pStyle w:val="FootnoteText"/>
        <w:jc w:val="both"/>
      </w:pPr>
      <w:r>
        <w:rPr>
          <w:rStyle w:val="FootnoteReference"/>
        </w:rPr>
        <w:footnoteRef/>
      </w:r>
      <w:r w:rsidRPr="00394B2C">
        <w:rPr>
          <w:lang w:val="it-IT"/>
        </w:rPr>
        <w:t xml:space="preserve"> </w:t>
      </w:r>
      <w:r>
        <w:rPr>
          <w:lang w:val="ro-RO"/>
        </w:rPr>
        <w:t xml:space="preserve">Strategia Națională pentru Dezvoltarea Durabilă a României 2030, pagina 54, accesibilă la </w:t>
      </w:r>
      <w:hyperlink r:id="rId1" w:history="1">
        <w:r w:rsidRPr="005C581F">
          <w:rPr>
            <w:rStyle w:val="Hyperlink"/>
            <w:lang w:val="ro-RO"/>
          </w:rPr>
          <w:t>http://dezvoltaredurabila.gov.ro/web/wp-content/uploads/2020/10/Strategia-nationala-pentru-dezvoltarea-durabila-a-Romaniei-2030_002.pdf</w:t>
        </w:r>
      </w:hyperlink>
      <w:r>
        <w:rPr>
          <w:lang w:val="ro-RO"/>
        </w:rPr>
        <w:t xml:space="preserve"> (data accesării: 26/02/2021).</w:t>
      </w:r>
    </w:p>
  </w:footnote>
  <w:footnote w:id="2">
    <w:p w:rsidR="00B978E1" w:rsidRDefault="00B978E1" w:rsidP="00394B2C">
      <w:pPr>
        <w:pStyle w:val="FootnoteText"/>
        <w:jc w:val="both"/>
      </w:pPr>
      <w:r>
        <w:rPr>
          <w:rStyle w:val="FootnoteReference"/>
        </w:rPr>
        <w:footnoteRef/>
      </w:r>
      <w:r w:rsidRPr="00394B2C">
        <w:rPr>
          <w:lang w:val="it-IT"/>
        </w:rPr>
        <w:t xml:space="preserve"> </w:t>
      </w:r>
      <w:r w:rsidRPr="00092AFD">
        <w:rPr>
          <w:rFonts w:cs="Calibri"/>
          <w:lang w:val="ro-RO"/>
        </w:rPr>
        <w:t>Sondaj de opinie reprezentativ pentru populația adultă neinstituționalizată a României, realizat pe un eșantion de 1,00</w:t>
      </w:r>
      <w:r>
        <w:rPr>
          <w:rFonts w:cs="Calibri"/>
          <w:lang w:val="ro-RO"/>
        </w:rPr>
        <w:t>2</w:t>
      </w:r>
      <w:r w:rsidRPr="00092AFD">
        <w:rPr>
          <w:rFonts w:cs="Calibri"/>
          <w:lang w:val="ro-RO"/>
        </w:rPr>
        <w:t xml:space="preserve"> persoane, în perioada </w:t>
      </w:r>
      <w:r>
        <w:rPr>
          <w:rFonts w:cs="Calibri"/>
          <w:lang w:val="ro-RO"/>
        </w:rPr>
        <w:t xml:space="preserve">8 </w:t>
      </w:r>
      <w:r w:rsidRPr="00092AFD">
        <w:rPr>
          <w:rFonts w:cs="Calibri"/>
          <w:lang w:val="ro-RO"/>
        </w:rPr>
        <w:t>– 1</w:t>
      </w:r>
      <w:r>
        <w:rPr>
          <w:rFonts w:cs="Calibri"/>
          <w:lang w:val="ro-RO"/>
        </w:rPr>
        <w:t>8</w:t>
      </w:r>
      <w:r w:rsidRPr="00092AFD">
        <w:rPr>
          <w:rFonts w:cs="Calibri"/>
          <w:lang w:val="ro-RO"/>
        </w:rPr>
        <w:t xml:space="preserve"> </w:t>
      </w:r>
      <w:r>
        <w:rPr>
          <w:rFonts w:cs="Calibri"/>
          <w:lang w:val="ro-RO"/>
        </w:rPr>
        <w:t>decembrie</w:t>
      </w:r>
      <w:r w:rsidRPr="00092AFD">
        <w:rPr>
          <w:rFonts w:cs="Calibri"/>
          <w:lang w:val="ro-RO"/>
        </w:rPr>
        <w:t xml:space="preserve"> 2020. Eșantion stratificat bistadial cu selecție probabilistică a persoanelor. Datele au fost culese prin interviuri telefonice (CATI). Eroarea maximă de eșantionare, la un nivel de 95%, este de </w:t>
      </w:r>
      <w:r w:rsidRPr="00092AFD">
        <w:rPr>
          <w:rFonts w:cs="Calibri"/>
          <w:lang w:val="ro-RO"/>
        </w:rPr>
        <w:sym w:font="Symbol" w:char="F0B1"/>
      </w:r>
      <w:r w:rsidRPr="00092AFD">
        <w:rPr>
          <w:rFonts w:cs="Calibri"/>
          <w:lang w:val="ro-RO"/>
        </w:rPr>
        <w:t xml:space="preserve"> 3,2%. S-a realizat ponderarea proporțională iterativă (Raking/Rim) a datelor pentru corectarea probabilităților inegale de selecție și pentru ajustarea ratelor neuniforme de non-răspuns. Criteriile de ponderare: sex, vârstă, educație, etnie, ocupație, regiune și mărimea localității.</w:t>
      </w:r>
    </w:p>
  </w:footnote>
  <w:footnote w:id="3">
    <w:p w:rsidR="00B978E1" w:rsidRPr="008B50F5" w:rsidRDefault="00B978E1" w:rsidP="00394B2C">
      <w:pPr>
        <w:pStyle w:val="FootnoteText"/>
        <w:jc w:val="both"/>
        <w:rPr>
          <w:lang w:val="ro-RO"/>
        </w:rPr>
      </w:pPr>
      <w:r>
        <w:rPr>
          <w:rStyle w:val="FootnoteReference"/>
        </w:rPr>
        <w:footnoteRef/>
      </w:r>
      <w:r w:rsidRPr="00394B2C">
        <w:rPr>
          <w:lang w:val="it-IT"/>
        </w:rPr>
        <w:t xml:space="preserve"> </w:t>
      </w:r>
      <w:r>
        <w:rPr>
          <w:lang w:val="ro-RO"/>
        </w:rPr>
        <w:t xml:space="preserve">Sursa informațiilor și a datelor este aici: </w:t>
      </w:r>
      <w:hyperlink r:id="rId2" w:history="1">
        <w:r w:rsidRPr="005C581F">
          <w:rPr>
            <w:rStyle w:val="Hyperlink"/>
            <w:lang w:val="ro-RO"/>
          </w:rPr>
          <w:t>https://ec.europa.eu/eurostat/databrowser/view/sdg_07_10/default/table?lang=en</w:t>
        </w:r>
      </w:hyperlink>
      <w:r>
        <w:rPr>
          <w:lang w:val="ro-RO"/>
        </w:rPr>
        <w:t xml:space="preserve"> (data accesării: 26/02/2021).</w:t>
      </w:r>
    </w:p>
    <w:p w:rsidR="00B978E1" w:rsidRDefault="00B978E1" w:rsidP="00394B2C">
      <w:pPr>
        <w:pStyle w:val="FootnoteText"/>
        <w:jc w:val="both"/>
      </w:pPr>
    </w:p>
  </w:footnote>
  <w:footnote w:id="4">
    <w:p w:rsidR="00B978E1" w:rsidRPr="008B50F5" w:rsidRDefault="00B978E1" w:rsidP="00394B2C">
      <w:pPr>
        <w:pStyle w:val="FootnoteText"/>
        <w:jc w:val="both"/>
        <w:rPr>
          <w:lang w:val="ro-RO"/>
        </w:rPr>
      </w:pPr>
      <w:r>
        <w:rPr>
          <w:rStyle w:val="FootnoteReference"/>
        </w:rPr>
        <w:footnoteRef/>
      </w:r>
      <w:r w:rsidRPr="00394B2C">
        <w:rPr>
          <w:lang w:val="it-IT"/>
        </w:rPr>
        <w:t xml:space="preserve"> </w:t>
      </w:r>
      <w:r>
        <w:rPr>
          <w:lang w:val="ro-RO"/>
        </w:rPr>
        <w:t xml:space="preserve">Sursa informațiilor și a datelor este aici: </w:t>
      </w:r>
      <w:hyperlink r:id="rId3" w:history="1">
        <w:r w:rsidRPr="005C581F">
          <w:rPr>
            <w:rStyle w:val="Hyperlink"/>
            <w:lang w:val="ro-RO"/>
          </w:rPr>
          <w:t>https://ec.europa.eu/eurostat/databrowser/view/sdg_07_11/default/table?lang=en</w:t>
        </w:r>
      </w:hyperlink>
      <w:r>
        <w:rPr>
          <w:lang w:val="ro-RO"/>
        </w:rPr>
        <w:t xml:space="preserve"> (data accesării: 26/02/2021).</w:t>
      </w:r>
    </w:p>
    <w:p w:rsidR="00B978E1" w:rsidRDefault="00B978E1" w:rsidP="00394B2C">
      <w:pPr>
        <w:pStyle w:val="FootnoteText"/>
        <w:jc w:val="both"/>
      </w:pPr>
    </w:p>
  </w:footnote>
  <w:footnote w:id="5">
    <w:p w:rsidR="00B978E1" w:rsidRDefault="00B978E1" w:rsidP="00394B2C">
      <w:pPr>
        <w:pStyle w:val="FootnoteText"/>
      </w:pPr>
      <w:r>
        <w:rPr>
          <w:rStyle w:val="FootnoteReference"/>
        </w:rPr>
        <w:footnoteRef/>
      </w:r>
      <w:r w:rsidRPr="00394B2C">
        <w:rPr>
          <w:lang w:val="it-IT"/>
        </w:rPr>
        <w:t xml:space="preserve"> </w:t>
      </w:r>
      <w:r>
        <w:rPr>
          <w:lang w:val="ro-RO"/>
        </w:rPr>
        <w:t xml:space="preserve">Sursa informațiilor și a datelor este aici: </w:t>
      </w:r>
      <w:hyperlink r:id="rId4" w:history="1">
        <w:r w:rsidRPr="005C581F">
          <w:rPr>
            <w:rStyle w:val="Hyperlink"/>
            <w:lang w:val="ro-RO"/>
          </w:rPr>
          <w:t>https://ec.europa.eu/eurostat/databrowser/view/sdg_07_20/default/table?lang=en</w:t>
        </w:r>
      </w:hyperlink>
      <w:r>
        <w:rPr>
          <w:lang w:val="ro-RO"/>
        </w:rPr>
        <w:t xml:space="preserve"> (data accesării: 26/02/2021).</w:t>
      </w:r>
    </w:p>
  </w:footnote>
  <w:footnote w:id="6">
    <w:p w:rsidR="00B978E1" w:rsidRDefault="00B978E1" w:rsidP="00394B2C">
      <w:pPr>
        <w:pStyle w:val="FootnoteText"/>
      </w:pPr>
      <w:r>
        <w:rPr>
          <w:rStyle w:val="FootnoteReference"/>
        </w:rPr>
        <w:footnoteRef/>
      </w:r>
      <w:r w:rsidRPr="00394B2C">
        <w:rPr>
          <w:lang w:val="it-IT"/>
        </w:rPr>
        <w:t xml:space="preserve"> </w:t>
      </w:r>
      <w:r>
        <w:rPr>
          <w:lang w:val="ro-RO"/>
        </w:rPr>
        <w:t xml:space="preserve">Sursa informațiilor și a datelor este aici: </w:t>
      </w:r>
      <w:hyperlink r:id="rId5" w:history="1">
        <w:r w:rsidRPr="005C581F">
          <w:rPr>
            <w:rStyle w:val="Hyperlink"/>
            <w:lang w:val="ro-RO"/>
          </w:rPr>
          <w:t>https://ec.europa.eu/eurostat/databrowser/view/sdg_07_30/default/table?lang=en</w:t>
        </w:r>
      </w:hyperlink>
      <w:r>
        <w:rPr>
          <w:lang w:val="ro-RO"/>
        </w:rPr>
        <w:t xml:space="preserve"> (data accesării: 26/02/2021).</w:t>
      </w:r>
    </w:p>
  </w:footnote>
  <w:footnote w:id="7">
    <w:p w:rsidR="00B978E1" w:rsidRDefault="00B978E1" w:rsidP="00394B2C">
      <w:pPr>
        <w:pStyle w:val="FootnoteText"/>
      </w:pPr>
      <w:r>
        <w:rPr>
          <w:rStyle w:val="FootnoteReference"/>
        </w:rPr>
        <w:footnoteRef/>
      </w:r>
      <w:r w:rsidRPr="00394B2C">
        <w:rPr>
          <w:lang w:val="it-IT"/>
        </w:rPr>
        <w:t xml:space="preserve"> </w:t>
      </w:r>
      <w:r>
        <w:rPr>
          <w:lang w:val="ro-RO"/>
        </w:rPr>
        <w:t xml:space="preserve">Sursa informațiilor și a datelor este aici: </w:t>
      </w:r>
      <w:hyperlink r:id="rId6" w:history="1">
        <w:r w:rsidRPr="005C581F">
          <w:rPr>
            <w:rStyle w:val="Hyperlink"/>
            <w:lang w:val="ro-RO"/>
          </w:rPr>
          <w:t>https://ec.europa.eu/eurostat/databrowser/view/sdg_07_40/default/table?lang=en</w:t>
        </w:r>
      </w:hyperlink>
      <w:r>
        <w:rPr>
          <w:lang w:val="ro-RO"/>
        </w:rPr>
        <w:t xml:space="preserve"> (data accesării: 26/02/2021).</w:t>
      </w:r>
    </w:p>
  </w:footnote>
  <w:footnote w:id="8">
    <w:p w:rsidR="00B978E1" w:rsidRDefault="00B978E1" w:rsidP="00394B2C">
      <w:pPr>
        <w:pStyle w:val="FootnoteText"/>
      </w:pPr>
      <w:r>
        <w:rPr>
          <w:rStyle w:val="FootnoteReference"/>
        </w:rPr>
        <w:footnoteRef/>
      </w:r>
      <w:r w:rsidRPr="00394B2C">
        <w:rPr>
          <w:lang w:val="it-IT"/>
        </w:rPr>
        <w:t xml:space="preserve"> </w:t>
      </w:r>
      <w:r>
        <w:rPr>
          <w:lang w:val="ro-RO"/>
        </w:rPr>
        <w:t xml:space="preserve">Sursa informațiilor și a datelor este aici: </w:t>
      </w:r>
      <w:hyperlink r:id="rId7" w:history="1">
        <w:r w:rsidRPr="005C581F">
          <w:rPr>
            <w:rStyle w:val="Hyperlink"/>
            <w:lang w:val="ro-RO"/>
          </w:rPr>
          <w:t>https://ec.europa.eu/eurostat/databrowser/view/sdg_07_50/default/table?lang=en</w:t>
        </w:r>
      </w:hyperlink>
      <w:r>
        <w:rPr>
          <w:lang w:val="ro-RO"/>
        </w:rPr>
        <w:t xml:space="preserve"> (data accesării: 26/02/2021).</w:t>
      </w:r>
    </w:p>
  </w:footnote>
  <w:footnote w:id="9">
    <w:p w:rsidR="00B978E1" w:rsidRDefault="00B978E1" w:rsidP="00394B2C">
      <w:pPr>
        <w:pStyle w:val="FootnoteText"/>
      </w:pPr>
      <w:r>
        <w:rPr>
          <w:rStyle w:val="FootnoteReference"/>
        </w:rPr>
        <w:footnoteRef/>
      </w:r>
      <w:r w:rsidRPr="00394B2C">
        <w:rPr>
          <w:lang w:val="it-IT"/>
        </w:rPr>
        <w:t xml:space="preserve"> </w:t>
      </w:r>
      <w:r>
        <w:rPr>
          <w:lang w:val="ro-RO"/>
        </w:rPr>
        <w:t xml:space="preserve">Sursa informațiilor și a datelor este aici: </w:t>
      </w:r>
      <w:hyperlink r:id="rId8" w:history="1">
        <w:r w:rsidRPr="005C581F">
          <w:rPr>
            <w:rStyle w:val="Hyperlink"/>
            <w:lang w:val="ro-RO"/>
          </w:rPr>
          <w:t>https://ec.europa.eu/eurostat/databrowser/view/sdg_13_20/default/table?lang=en</w:t>
        </w:r>
      </w:hyperlink>
      <w:r>
        <w:rPr>
          <w:lang w:val="ro-RO"/>
        </w:rPr>
        <w:t xml:space="preserve"> (data accesării: 26/02/2021).</w:t>
      </w:r>
    </w:p>
  </w:footnote>
  <w:footnote w:id="10">
    <w:p w:rsidR="00B978E1" w:rsidRDefault="00B978E1" w:rsidP="00394B2C">
      <w:pPr>
        <w:pStyle w:val="FootnoteText"/>
      </w:pPr>
      <w:r>
        <w:rPr>
          <w:rStyle w:val="FootnoteReference"/>
        </w:rPr>
        <w:footnoteRef/>
      </w:r>
      <w:r w:rsidRPr="00394B2C">
        <w:rPr>
          <w:lang w:val="it-IT"/>
        </w:rPr>
        <w:t xml:space="preserve"> </w:t>
      </w:r>
      <w:r>
        <w:rPr>
          <w:lang w:val="ro-RO"/>
        </w:rPr>
        <w:t xml:space="preserve">Sursa informației este aici: </w:t>
      </w:r>
      <w:hyperlink r:id="rId9" w:history="1">
        <w:r w:rsidRPr="005C581F">
          <w:rPr>
            <w:rStyle w:val="Hyperlink"/>
            <w:lang w:val="ro-RO"/>
          </w:rPr>
          <w:t>https://economie.hotnews.ro/stiri-energie-24398942-lucarile-gazoductul-brua-faza-fost-finalizate.htm</w:t>
        </w:r>
      </w:hyperlink>
      <w:r>
        <w:rPr>
          <w:lang w:val="ro-RO"/>
        </w:rPr>
        <w:t xml:space="preserve"> (data accesării: 26/02/2021).</w:t>
      </w:r>
    </w:p>
  </w:footnote>
  <w:footnote w:id="11">
    <w:p w:rsidR="00B978E1" w:rsidRDefault="00B978E1" w:rsidP="00394B2C">
      <w:pPr>
        <w:pStyle w:val="FootnoteText"/>
      </w:pPr>
      <w:r>
        <w:rPr>
          <w:rStyle w:val="FootnoteReference"/>
        </w:rPr>
        <w:footnoteRef/>
      </w:r>
      <w:r w:rsidRPr="00394B2C">
        <w:rPr>
          <w:lang w:val="it-IT"/>
        </w:rPr>
        <w:t xml:space="preserve"> </w:t>
      </w:r>
      <w:r>
        <w:rPr>
          <w:lang w:val="ro-RO"/>
        </w:rPr>
        <w:t xml:space="preserve">Documentul este accesibil aici: </w:t>
      </w:r>
      <w:hyperlink r:id="rId10" w:history="1">
        <w:r w:rsidRPr="005C581F">
          <w:rPr>
            <w:rStyle w:val="Hyperlink"/>
            <w:lang w:val="ro-RO"/>
          </w:rPr>
          <w:t>http://www.mmediu.ro/app/webroot/uploads/files/Strategia%20Energetica%20a%20Romaniei_aug%202020.pdf</w:t>
        </w:r>
      </w:hyperlink>
      <w:r>
        <w:rPr>
          <w:lang w:val="ro-RO"/>
        </w:rPr>
        <w:t xml:space="preserve"> (data accesării: 26/02/2021).</w:t>
      </w:r>
    </w:p>
  </w:footnote>
  <w:footnote w:id="12">
    <w:p w:rsidR="00B978E1" w:rsidRDefault="00B978E1" w:rsidP="00394B2C">
      <w:pPr>
        <w:pStyle w:val="FootnoteText"/>
        <w:jc w:val="both"/>
      </w:pPr>
      <w:r>
        <w:rPr>
          <w:rStyle w:val="FootnoteReference"/>
        </w:rPr>
        <w:footnoteRef/>
      </w:r>
      <w:r w:rsidRPr="00394B2C">
        <w:rPr>
          <w:lang w:val="it-IT"/>
        </w:rPr>
        <w:t xml:space="preserve"> </w:t>
      </w:r>
      <w:r>
        <w:rPr>
          <w:lang w:val="ro-RO"/>
        </w:rPr>
        <w:t xml:space="preserve">Vezi detalii aici: </w:t>
      </w:r>
      <w:hyperlink r:id="rId11" w:history="1">
        <w:r w:rsidRPr="005C581F">
          <w:rPr>
            <w:rStyle w:val="Hyperlink"/>
            <w:lang w:val="ro-RO"/>
          </w:rPr>
          <w:t>https://www.zf.ro/companii/energie/care-este-perceptia-romanilor-fata-de-liberalizarea-pietei-de-19894719</w:t>
        </w:r>
      </w:hyperlink>
      <w:r>
        <w:rPr>
          <w:lang w:val="ro-RO"/>
        </w:rPr>
        <w:t xml:space="preserve"> (data accesării: 26/02/2021).</w:t>
      </w:r>
    </w:p>
  </w:footnote>
  <w:footnote w:id="13">
    <w:p w:rsidR="00B978E1" w:rsidRDefault="00B978E1" w:rsidP="00394B2C">
      <w:pPr>
        <w:pStyle w:val="FootnoteText"/>
        <w:jc w:val="both"/>
      </w:pPr>
      <w:r>
        <w:rPr>
          <w:rStyle w:val="FootnoteReference"/>
        </w:rPr>
        <w:footnoteRef/>
      </w:r>
      <w:r w:rsidRPr="00394B2C">
        <w:rPr>
          <w:lang w:val="it-IT"/>
        </w:rPr>
        <w:t xml:space="preserve"> </w:t>
      </w:r>
      <w:r>
        <w:rPr>
          <w:lang w:val="ro-RO"/>
        </w:rPr>
        <w:t xml:space="preserve">Vezi detalii aici: </w:t>
      </w:r>
      <w:hyperlink r:id="rId12" w:history="1">
        <w:r w:rsidRPr="005C581F">
          <w:rPr>
            <w:rStyle w:val="Hyperlink"/>
            <w:lang w:val="ro-RO"/>
          </w:rPr>
          <w:t>https://www.digi24.ro/stiri/economie/piata-gazelor-este-liberalizata-complet-din-1-iulie-dar-tarifele-consumatorilor-casnici-raman-deocamdata-aceleasi-1331403</w:t>
        </w:r>
      </w:hyperlink>
      <w:r>
        <w:rPr>
          <w:lang w:val="ro-RO"/>
        </w:rPr>
        <w:t xml:space="preserve"> (data accesării: 26/02/2021).</w:t>
      </w:r>
    </w:p>
  </w:footnote>
  <w:footnote w:id="14">
    <w:p w:rsidR="00B978E1" w:rsidRDefault="00B978E1" w:rsidP="00394B2C">
      <w:pPr>
        <w:pStyle w:val="FootnoteText"/>
      </w:pPr>
      <w:r>
        <w:rPr>
          <w:rStyle w:val="FootnoteReference"/>
        </w:rPr>
        <w:footnoteRef/>
      </w:r>
      <w:r w:rsidRPr="00394B2C">
        <w:rPr>
          <w:lang w:val="it-IT"/>
        </w:rPr>
        <w:t xml:space="preserve"> </w:t>
      </w:r>
      <w:r>
        <w:rPr>
          <w:lang w:val="ro-RO"/>
        </w:rPr>
        <w:t xml:space="preserve">Vezi aici sursa informației: </w:t>
      </w:r>
      <w:hyperlink r:id="rId13" w:history="1">
        <w:r w:rsidRPr="005C581F">
          <w:rPr>
            <w:rStyle w:val="Hyperlink"/>
            <w:lang w:val="ro-RO"/>
          </w:rPr>
          <w:t>https://www.reuters.com/article/us-baltics-cyber-insight-idUSKBN1871W5</w:t>
        </w:r>
      </w:hyperlink>
      <w:r>
        <w:rPr>
          <w:lang w:val="ro-RO"/>
        </w:rPr>
        <w:t xml:space="preserve"> (data accesării: 26/02/2021).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8E1" w:rsidRDefault="00B978E1">
    <w:pPr>
      <w:pStyle w:val="Header"/>
      <w:jc w:val="center"/>
    </w:pPr>
    <w:r w:rsidRPr="00E209A7">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6pt;height:46.8pt;visibility:visible">
          <v:imagedata r:id="rId1" o:title=""/>
        </v:shape>
      </w:pict>
    </w:r>
  </w:p>
  <w:p w:rsidR="00B978E1" w:rsidRDefault="00B978E1">
    <w:pPr>
      <w:pStyle w:val="Header"/>
      <w:jc w:val="center"/>
    </w:pPr>
    <w:r>
      <w:rPr>
        <w:noProof/>
      </w:rPr>
      <w:pict>
        <v:shapetype id="_x0000_t32" coordsize="21600,21600" o:spt="32" o:oned="t" path="m,l21600,21600e" filled="f">
          <v:path arrowok="t" fillok="f" o:connecttype="none"/>
          <o:lock v:ext="edit" shapetype="t"/>
        </v:shapetype>
        <v:shape id="Straight Connector 33" o:spid="_x0000_s2049" type="#_x0000_t32" style="position:absolute;left:0;text-align:left;margin-left:-.15pt;margin-top:8.65pt;width:513.75pt;height:.9pt;flip:y;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w3IkgwAEAAGIDAAAOAAAAAAAAAAAAAAAAAC4C&#10;AABkcnMvZTJvRG9jLnhtbFBLAQItABQABgAIAAAAIQCsiGYz3QAAAAgBAAAPAAAAAAAAAAAAAAAA&#10;ABoEAABkcnMvZG93bnJldi54bWxQSwUGAAAAAAQABADzAAAAJAUAAAAA&#10;" strokecolor="#039" strokeweight="2.25pt">
          <v:stroke joinstyle="miter"/>
          <w10:wrap anchorx="margin"/>
        </v:shape>
      </w:pict>
    </w:r>
  </w:p>
  <w:p w:rsidR="00B978E1" w:rsidRDefault="00B978E1">
    <w:pPr>
      <w:pStyle w:val="Header"/>
      <w:jc w:val="center"/>
      <w:rPr>
        <w:rFonts w:ascii="Trebuchet MS" w:hAnsi="Trebuchet MS"/>
        <w:sz w:val="16"/>
        <w:szCs w:val="16"/>
      </w:rPr>
    </w:pPr>
  </w:p>
  <w:p w:rsidR="00B978E1" w:rsidRDefault="00B978E1">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76B9"/>
    <w:multiLevelType w:val="hybridMultilevel"/>
    <w:tmpl w:val="33D28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1041D6B"/>
    <w:multiLevelType w:val="hybridMultilevel"/>
    <w:tmpl w:val="AB6A7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99E70E8"/>
    <w:multiLevelType w:val="hybridMultilevel"/>
    <w:tmpl w:val="8FE4A2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50E3"/>
    <w:rsid w:val="0008287B"/>
    <w:rsid w:val="00085B1D"/>
    <w:rsid w:val="000874AF"/>
    <w:rsid w:val="00092AFD"/>
    <w:rsid w:val="000B3F11"/>
    <w:rsid w:val="00110267"/>
    <w:rsid w:val="00113B7B"/>
    <w:rsid w:val="00133D97"/>
    <w:rsid w:val="00150505"/>
    <w:rsid w:val="0017766D"/>
    <w:rsid w:val="00195B7B"/>
    <w:rsid w:val="001C0F78"/>
    <w:rsid w:val="001C52E9"/>
    <w:rsid w:val="001C6090"/>
    <w:rsid w:val="0024066D"/>
    <w:rsid w:val="00242CCB"/>
    <w:rsid w:val="00265A75"/>
    <w:rsid w:val="002770DD"/>
    <w:rsid w:val="00282839"/>
    <w:rsid w:val="002D6405"/>
    <w:rsid w:val="00303447"/>
    <w:rsid w:val="00383D41"/>
    <w:rsid w:val="00394B2C"/>
    <w:rsid w:val="003B6DCB"/>
    <w:rsid w:val="003E3582"/>
    <w:rsid w:val="004573D3"/>
    <w:rsid w:val="004856B0"/>
    <w:rsid w:val="004D2A9A"/>
    <w:rsid w:val="004E6CA1"/>
    <w:rsid w:val="004F390A"/>
    <w:rsid w:val="004F6811"/>
    <w:rsid w:val="00547997"/>
    <w:rsid w:val="00581958"/>
    <w:rsid w:val="00595318"/>
    <w:rsid w:val="005A6BC3"/>
    <w:rsid w:val="005C581F"/>
    <w:rsid w:val="005D6270"/>
    <w:rsid w:val="005E5534"/>
    <w:rsid w:val="006019AA"/>
    <w:rsid w:val="00602AA7"/>
    <w:rsid w:val="0062206B"/>
    <w:rsid w:val="0066302F"/>
    <w:rsid w:val="00677EBC"/>
    <w:rsid w:val="006A5E2C"/>
    <w:rsid w:val="006A7659"/>
    <w:rsid w:val="006C1741"/>
    <w:rsid w:val="00725F4E"/>
    <w:rsid w:val="00734A9E"/>
    <w:rsid w:val="00754CB3"/>
    <w:rsid w:val="00776651"/>
    <w:rsid w:val="007B2073"/>
    <w:rsid w:val="007B539D"/>
    <w:rsid w:val="007F032D"/>
    <w:rsid w:val="00802053"/>
    <w:rsid w:val="00810592"/>
    <w:rsid w:val="008118E7"/>
    <w:rsid w:val="00823AB8"/>
    <w:rsid w:val="008524C8"/>
    <w:rsid w:val="00852758"/>
    <w:rsid w:val="00854C55"/>
    <w:rsid w:val="008647A6"/>
    <w:rsid w:val="008B080C"/>
    <w:rsid w:val="008B50F5"/>
    <w:rsid w:val="008C5286"/>
    <w:rsid w:val="00902F9F"/>
    <w:rsid w:val="009834AF"/>
    <w:rsid w:val="00992D12"/>
    <w:rsid w:val="009B52C8"/>
    <w:rsid w:val="009D17FE"/>
    <w:rsid w:val="009D6555"/>
    <w:rsid w:val="009F1567"/>
    <w:rsid w:val="009F73D2"/>
    <w:rsid w:val="00A112B3"/>
    <w:rsid w:val="00A15A0A"/>
    <w:rsid w:val="00A20C6F"/>
    <w:rsid w:val="00A3276B"/>
    <w:rsid w:val="00A4040C"/>
    <w:rsid w:val="00A53515"/>
    <w:rsid w:val="00AA6315"/>
    <w:rsid w:val="00AD473A"/>
    <w:rsid w:val="00B46875"/>
    <w:rsid w:val="00B724E8"/>
    <w:rsid w:val="00B978E1"/>
    <w:rsid w:val="00BA084E"/>
    <w:rsid w:val="00BD1904"/>
    <w:rsid w:val="00C122C5"/>
    <w:rsid w:val="00C15846"/>
    <w:rsid w:val="00C87A17"/>
    <w:rsid w:val="00CA331B"/>
    <w:rsid w:val="00D12A1F"/>
    <w:rsid w:val="00D20601"/>
    <w:rsid w:val="00D20764"/>
    <w:rsid w:val="00D3085A"/>
    <w:rsid w:val="00D350E3"/>
    <w:rsid w:val="00D353D6"/>
    <w:rsid w:val="00D87B06"/>
    <w:rsid w:val="00D914A9"/>
    <w:rsid w:val="00DC4F65"/>
    <w:rsid w:val="00DD3600"/>
    <w:rsid w:val="00DF175C"/>
    <w:rsid w:val="00E04198"/>
    <w:rsid w:val="00E209A7"/>
    <w:rsid w:val="00E27F11"/>
    <w:rsid w:val="00E306E2"/>
    <w:rsid w:val="00E41297"/>
    <w:rsid w:val="00E663CB"/>
    <w:rsid w:val="00EA4496"/>
    <w:rsid w:val="00ED74AB"/>
    <w:rsid w:val="00EE517C"/>
    <w:rsid w:val="00F15CCA"/>
    <w:rsid w:val="00F83078"/>
    <w:rsid w:val="00F903C2"/>
    <w:rsid w:val="00F96AD5"/>
    <w:rsid w:val="00FB375B"/>
    <w:rsid w:val="00FD606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647A6"/>
    <w:pPr>
      <w:suppressAutoHyphens/>
      <w:autoSpaceDN w:val="0"/>
      <w:spacing w:after="160"/>
      <w:textAlignment w:val="baseline"/>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47A6"/>
    <w:pPr>
      <w:tabs>
        <w:tab w:val="center" w:pos="4680"/>
        <w:tab w:val="right" w:pos="9360"/>
      </w:tabs>
      <w:spacing w:after="0"/>
    </w:pPr>
  </w:style>
  <w:style w:type="character" w:customStyle="1" w:styleId="HeaderChar">
    <w:name w:val="Header Char"/>
    <w:basedOn w:val="DefaultParagraphFont"/>
    <w:link w:val="Header"/>
    <w:uiPriority w:val="99"/>
    <w:locked/>
    <w:rsid w:val="008647A6"/>
    <w:rPr>
      <w:rFonts w:cs="Times New Roman"/>
    </w:rPr>
  </w:style>
  <w:style w:type="paragraph" w:styleId="Footer">
    <w:name w:val="footer"/>
    <w:basedOn w:val="Normal"/>
    <w:link w:val="FooterChar"/>
    <w:uiPriority w:val="99"/>
    <w:rsid w:val="008647A6"/>
    <w:pPr>
      <w:tabs>
        <w:tab w:val="center" w:pos="4680"/>
        <w:tab w:val="right" w:pos="9360"/>
      </w:tabs>
      <w:spacing w:after="0"/>
    </w:pPr>
  </w:style>
  <w:style w:type="character" w:customStyle="1" w:styleId="FooterChar">
    <w:name w:val="Footer Char"/>
    <w:basedOn w:val="DefaultParagraphFont"/>
    <w:link w:val="Footer"/>
    <w:uiPriority w:val="99"/>
    <w:locked/>
    <w:rsid w:val="008647A6"/>
    <w:rPr>
      <w:rFonts w:cs="Times New Roman"/>
    </w:rPr>
  </w:style>
  <w:style w:type="paragraph" w:styleId="FootnoteText">
    <w:name w:val="footnote text"/>
    <w:basedOn w:val="Normal"/>
    <w:link w:val="FootnoteTextChar"/>
    <w:uiPriority w:val="99"/>
    <w:semiHidden/>
    <w:locked/>
    <w:rsid w:val="00394B2C"/>
    <w:pPr>
      <w:suppressAutoHyphens w:val="0"/>
      <w:autoSpaceDN/>
      <w:spacing w:after="0"/>
      <w:textAlignment w:val="auto"/>
    </w:pPr>
    <w:rPr>
      <w:sz w:val="20"/>
      <w:szCs w:val="20"/>
      <w:lang w:val="en-CA"/>
    </w:rPr>
  </w:style>
  <w:style w:type="character" w:customStyle="1" w:styleId="FootnoteTextChar">
    <w:name w:val="Footnote Text Char"/>
    <w:basedOn w:val="DefaultParagraphFont"/>
    <w:link w:val="FootnoteText"/>
    <w:uiPriority w:val="99"/>
    <w:semiHidden/>
    <w:locked/>
    <w:rsid w:val="00394B2C"/>
    <w:rPr>
      <w:rFonts w:ascii="Calibri" w:hAnsi="Calibri" w:cs="Times New Roman"/>
      <w:lang w:val="en-CA" w:eastAsia="en-US" w:bidi="ar-SA"/>
    </w:rPr>
  </w:style>
  <w:style w:type="character" w:styleId="FootnoteReference">
    <w:name w:val="footnote reference"/>
    <w:basedOn w:val="DefaultParagraphFont"/>
    <w:uiPriority w:val="99"/>
    <w:semiHidden/>
    <w:locked/>
    <w:rsid w:val="00394B2C"/>
    <w:rPr>
      <w:rFonts w:cs="Times New Roman"/>
      <w:vertAlign w:val="superscript"/>
    </w:rPr>
  </w:style>
  <w:style w:type="character" w:styleId="Hyperlink">
    <w:name w:val="Hyperlink"/>
    <w:basedOn w:val="DefaultParagraphFont"/>
    <w:uiPriority w:val="99"/>
    <w:locked/>
    <w:rsid w:val="00394B2C"/>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sdg_13_20/default/table?lang=en" TargetMode="External"/><Relationship Id="rId13" Type="http://schemas.openxmlformats.org/officeDocument/2006/relationships/hyperlink" Target="https://www.reuters.com/article/us-baltics-cyber-insight-idUSKBN1871W5" TargetMode="External"/><Relationship Id="rId3" Type="http://schemas.openxmlformats.org/officeDocument/2006/relationships/hyperlink" Target="https://ec.europa.eu/eurostat/databrowser/view/sdg_07_11/default/table?lang=en" TargetMode="External"/><Relationship Id="rId7" Type="http://schemas.openxmlformats.org/officeDocument/2006/relationships/hyperlink" Target="https://ec.europa.eu/eurostat/databrowser/view/sdg_07_50/default/table?lang=en" TargetMode="External"/><Relationship Id="rId12" Type="http://schemas.openxmlformats.org/officeDocument/2006/relationships/hyperlink" Target="https://www.digi24.ro/stiri/economie/piata-gazelor-este-liberalizata-complet-din-1-iulie-dar-tarifele-consumatorilor-casnici-raman-deocamdata-aceleasi-1331403" TargetMode="External"/><Relationship Id="rId2" Type="http://schemas.openxmlformats.org/officeDocument/2006/relationships/hyperlink" Target="https://ec.europa.eu/eurostat/databrowser/view/sdg_07_10/default/table?lang=en" TargetMode="External"/><Relationship Id="rId1" Type="http://schemas.openxmlformats.org/officeDocument/2006/relationships/hyperlink" Target="http://dezvoltaredurabila.gov.ro/web/wp-content/uploads/2020/10/Strategia-nationala-pentru-dezvoltarea-durabila-a-Romaniei-2030_002.pdf" TargetMode="External"/><Relationship Id="rId6" Type="http://schemas.openxmlformats.org/officeDocument/2006/relationships/hyperlink" Target="https://ec.europa.eu/eurostat/databrowser/view/sdg_07_40/default/table?lang=en" TargetMode="External"/><Relationship Id="rId11" Type="http://schemas.openxmlformats.org/officeDocument/2006/relationships/hyperlink" Target="https://www.zf.ro/companii/energie/care-este-perceptia-romanilor-fata-de-liberalizarea-pietei-de-19894719" TargetMode="External"/><Relationship Id="rId5" Type="http://schemas.openxmlformats.org/officeDocument/2006/relationships/hyperlink" Target="https://ec.europa.eu/eurostat/databrowser/view/sdg_07_30/default/table?lang=en" TargetMode="External"/><Relationship Id="rId10" Type="http://schemas.openxmlformats.org/officeDocument/2006/relationships/hyperlink" Target="http://www.mmediu.ro/app/webroot/uploads/files/Strategia%20Energetica%20a%20Romaniei_aug%202020.pdf" TargetMode="External"/><Relationship Id="rId4" Type="http://schemas.openxmlformats.org/officeDocument/2006/relationships/hyperlink" Target="https://ec.europa.eu/eurostat/databrowser/view/sdg_07_20/default/table?lang=en" TargetMode="External"/><Relationship Id="rId9" Type="http://schemas.openxmlformats.org/officeDocument/2006/relationships/hyperlink" Target="https://economie.hotnews.ro/stiri-energie-24398942-lucarile-gazoductul-brua-faza-fost-finalizat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26</Pages>
  <Words>4922</Words>
  <Characters>28062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Turambar</cp:lastModifiedBy>
  <cp:revision>36</cp:revision>
  <cp:lastPrinted>2019-09-23T07:10:00Z</cp:lastPrinted>
  <dcterms:created xsi:type="dcterms:W3CDTF">2019-09-23T06:58:00Z</dcterms:created>
  <dcterms:modified xsi:type="dcterms:W3CDTF">2021-03-08T18:51:00Z</dcterms:modified>
</cp:coreProperties>
</file>