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9FE" w:rsidRPr="00EE57A6" w:rsidRDefault="00FE69FE" w:rsidP="00EE57A6">
      <w:pPr>
        <w:widowControl w:val="0"/>
        <w:spacing w:after="0" w:line="360" w:lineRule="auto"/>
        <w:jc w:val="center"/>
        <w:rPr>
          <w:rFonts w:ascii="Trebuchet MS" w:hAnsi="Trebuchet MS" w:cs="Arial"/>
          <w:bCs/>
          <w:sz w:val="32"/>
          <w:szCs w:val="32"/>
          <w:lang w:val="ro-RO" w:eastAsia="ru-RU"/>
        </w:rPr>
      </w:pPr>
      <w:r w:rsidRPr="00EE57A6">
        <w:rPr>
          <w:rFonts w:ascii="Trebuchet MS" w:hAnsi="Trebuchet MS" w:cs="Arial"/>
          <w:bCs/>
          <w:sz w:val="32"/>
          <w:szCs w:val="32"/>
          <w:lang w:val="ro-RO" w:eastAsia="ru-RU"/>
        </w:rPr>
        <w:t>“R o m â n i a   D u r a b i l ă”   ( S I P O C A   6 1 3 )</w:t>
      </w:r>
    </w:p>
    <w:p w:rsidR="00FE69FE" w:rsidRPr="00EE57A6" w:rsidRDefault="00FE69FE" w:rsidP="00EE57A6">
      <w:pPr>
        <w:widowControl w:val="0"/>
        <w:spacing w:after="0" w:line="360" w:lineRule="auto"/>
        <w:jc w:val="center"/>
        <w:rPr>
          <w:rFonts w:ascii="Trebuchet MS" w:hAnsi="Trebuchet MS" w:cs="Arial"/>
          <w:bCs/>
          <w:sz w:val="40"/>
          <w:szCs w:val="40"/>
          <w:lang w:val="ro-RO" w:eastAsia="ru-RU"/>
        </w:rPr>
      </w:pPr>
      <w:r w:rsidRPr="00EE57A6">
        <w:rPr>
          <w:rFonts w:ascii="Trebuchet MS" w:hAnsi="Trebuchet MS" w:cs="Arial"/>
          <w:bCs/>
          <w:sz w:val="40"/>
          <w:szCs w:val="40"/>
          <w:lang w:val="ro-RO" w:eastAsia="ru-RU"/>
        </w:rPr>
        <w:t>Valul de cercetare sociologică RD12</w:t>
      </w:r>
    </w:p>
    <w:p w:rsidR="00FE69FE" w:rsidRPr="00EE57A6" w:rsidRDefault="00FE69FE" w:rsidP="00EE57A6">
      <w:pPr>
        <w:widowControl w:val="0"/>
        <w:spacing w:after="0" w:line="360" w:lineRule="auto"/>
        <w:jc w:val="center"/>
        <w:rPr>
          <w:rFonts w:ascii="Trebuchet MS" w:hAnsi="Trebuchet MS" w:cs="Arial"/>
          <w:bCs/>
          <w:sz w:val="40"/>
          <w:szCs w:val="40"/>
          <w:lang w:val="ro-RO" w:eastAsia="ru-RU"/>
        </w:rPr>
      </w:pPr>
    </w:p>
    <w:p w:rsidR="00FE69FE" w:rsidRPr="00EE57A6" w:rsidRDefault="00FE69FE" w:rsidP="00EE57A6">
      <w:pPr>
        <w:widowControl w:val="0"/>
        <w:spacing w:after="0" w:line="360" w:lineRule="auto"/>
        <w:jc w:val="center"/>
        <w:rPr>
          <w:rFonts w:ascii="Trebuchet MS" w:hAnsi="Trebuchet MS" w:cs="Arial"/>
          <w:bCs/>
          <w:sz w:val="40"/>
          <w:szCs w:val="40"/>
          <w:lang w:val="ro-RO" w:eastAsia="ru-RU"/>
        </w:rPr>
      </w:pPr>
      <w:r w:rsidRPr="00EE57A6">
        <w:rPr>
          <w:rFonts w:ascii="Trebuchet MS" w:hAnsi="Trebuchet MS" w:cs="Arial"/>
          <w:bCs/>
          <w:sz w:val="40"/>
          <w:szCs w:val="40"/>
          <w:lang w:val="ro-RO" w:eastAsia="ru-RU"/>
        </w:rPr>
        <w:t xml:space="preserve">Comparația percepțiilor subiective </w:t>
      </w:r>
    </w:p>
    <w:p w:rsidR="00FE69FE" w:rsidRPr="00EE57A6" w:rsidRDefault="00FE69FE" w:rsidP="00EE57A6">
      <w:pPr>
        <w:widowControl w:val="0"/>
        <w:spacing w:after="0" w:line="360" w:lineRule="auto"/>
        <w:jc w:val="center"/>
        <w:rPr>
          <w:rFonts w:ascii="Trebuchet MS" w:hAnsi="Trebuchet MS" w:cs="Arial"/>
          <w:bCs/>
          <w:sz w:val="40"/>
          <w:szCs w:val="40"/>
          <w:lang w:val="ro-RO" w:eastAsia="ru-RU"/>
        </w:rPr>
      </w:pPr>
      <w:r w:rsidRPr="00EE57A6">
        <w:rPr>
          <w:rFonts w:ascii="Trebuchet MS" w:hAnsi="Trebuchet MS" w:cs="Arial"/>
          <w:bCs/>
          <w:sz w:val="40"/>
          <w:szCs w:val="40"/>
          <w:lang w:val="ro-RO" w:eastAsia="ru-RU"/>
        </w:rPr>
        <w:t xml:space="preserve">și a indicatorilor naționali și europeni </w:t>
      </w:r>
    </w:p>
    <w:p w:rsidR="00FE69FE" w:rsidRPr="00EE57A6" w:rsidRDefault="00FE69FE" w:rsidP="00EE57A6">
      <w:pPr>
        <w:widowControl w:val="0"/>
        <w:spacing w:after="0" w:line="360" w:lineRule="auto"/>
        <w:jc w:val="center"/>
        <w:rPr>
          <w:rFonts w:ascii="Trebuchet MS" w:hAnsi="Trebuchet MS" w:cs="Arial"/>
          <w:bCs/>
          <w:sz w:val="40"/>
          <w:szCs w:val="40"/>
          <w:lang w:val="ro-RO" w:eastAsia="ru-RU"/>
        </w:rPr>
      </w:pPr>
      <w:r w:rsidRPr="00EE57A6">
        <w:rPr>
          <w:rFonts w:ascii="Trebuchet MS" w:hAnsi="Trebuchet MS" w:cs="Arial"/>
          <w:bCs/>
          <w:sz w:val="40"/>
          <w:szCs w:val="40"/>
          <w:lang w:val="ro-RO" w:eastAsia="ru-RU"/>
        </w:rPr>
        <w:t>în privința accesului la energie</w:t>
      </w:r>
    </w:p>
    <w:p w:rsidR="00FE69FE" w:rsidRPr="00EE57A6" w:rsidRDefault="00FE69FE" w:rsidP="00EE57A6">
      <w:pPr>
        <w:widowControl w:val="0"/>
        <w:spacing w:after="0" w:line="360" w:lineRule="auto"/>
        <w:jc w:val="center"/>
        <w:rPr>
          <w:rFonts w:ascii="Trebuchet MS" w:hAnsi="Trebuchet MS" w:cs="Arial"/>
          <w:bCs/>
          <w:sz w:val="32"/>
          <w:szCs w:val="40"/>
          <w:lang w:val="ro-RO" w:eastAsia="ru-RU"/>
        </w:rPr>
      </w:pPr>
      <w:r w:rsidRPr="00EE57A6">
        <w:rPr>
          <w:rFonts w:ascii="Trebuchet MS" w:hAnsi="Trebuchet MS" w:cs="Arial"/>
          <w:bCs/>
          <w:sz w:val="32"/>
          <w:szCs w:val="40"/>
          <w:lang w:val="ro-RO" w:eastAsia="ru-RU"/>
        </w:rPr>
        <w:t>Livrabil</w:t>
      </w:r>
    </w:p>
    <w:p w:rsidR="00FE69FE" w:rsidRPr="00EE57A6" w:rsidRDefault="00FE69FE" w:rsidP="00EE57A6">
      <w:pPr>
        <w:widowControl w:val="0"/>
        <w:spacing w:after="0" w:line="360" w:lineRule="auto"/>
        <w:jc w:val="center"/>
        <w:rPr>
          <w:rFonts w:ascii="Trebuchet MS" w:hAnsi="Trebuchet MS" w:cs="Arial"/>
          <w:bCs/>
          <w:sz w:val="32"/>
          <w:szCs w:val="40"/>
          <w:lang w:val="ro-RO" w:eastAsia="ro-RO"/>
        </w:rPr>
      </w:pPr>
      <w:r w:rsidRPr="00EE57A6">
        <w:rPr>
          <w:rFonts w:ascii="Trebuchet MS" w:hAnsi="Trebuchet MS" w:cs="Arial"/>
          <w:bCs/>
          <w:sz w:val="32"/>
          <w:szCs w:val="40"/>
          <w:lang w:val="ro-RO" w:eastAsia="ru-RU"/>
        </w:rPr>
        <w:t>luna februarie 2021</w:t>
      </w:r>
    </w:p>
    <w:p w:rsidR="00FE69FE" w:rsidRPr="00EE57A6" w:rsidRDefault="00FE69FE" w:rsidP="00EE57A6">
      <w:pPr>
        <w:widowControl w:val="0"/>
        <w:spacing w:after="0" w:line="360" w:lineRule="auto"/>
        <w:jc w:val="center"/>
        <w:rPr>
          <w:rFonts w:ascii="Trebuchet MS" w:hAnsi="Trebuchet MS"/>
          <w:sz w:val="24"/>
          <w:szCs w:val="24"/>
          <w:lang w:val="ro-RO"/>
        </w:rPr>
      </w:pPr>
    </w:p>
    <w:p w:rsidR="00FE69FE" w:rsidRPr="00EE57A6" w:rsidRDefault="00FE69FE" w:rsidP="00EE57A6">
      <w:pPr>
        <w:widowControl w:val="0"/>
        <w:spacing w:after="0" w:line="360" w:lineRule="auto"/>
        <w:jc w:val="center"/>
        <w:rPr>
          <w:rFonts w:ascii="Trebuchet MS" w:hAnsi="Trebuchet MS"/>
          <w:sz w:val="24"/>
          <w:szCs w:val="24"/>
          <w:lang w:val="ro-RO"/>
        </w:rPr>
      </w:pPr>
    </w:p>
    <w:p w:rsidR="00FE69FE" w:rsidRPr="00EE57A6" w:rsidRDefault="00FE69FE" w:rsidP="00EE57A6">
      <w:pPr>
        <w:widowControl w:val="0"/>
        <w:spacing w:after="0" w:line="360" w:lineRule="auto"/>
        <w:ind w:left="360"/>
        <w:jc w:val="both"/>
        <w:rPr>
          <w:rFonts w:ascii="Trebuchet MS" w:hAnsi="Trebuchet MS"/>
          <w:b/>
          <w:bCs/>
          <w:lang w:val="ro-RO"/>
        </w:rPr>
      </w:pPr>
      <w:r w:rsidRPr="00EE57A6">
        <w:rPr>
          <w:rFonts w:ascii="Trebuchet MS" w:hAnsi="Trebuchet MS"/>
          <w:b/>
          <w:bCs/>
          <w:lang w:val="ro-RO"/>
        </w:rPr>
        <w:t>ACTIVITATEA A9</w:t>
      </w:r>
    </w:p>
    <w:p w:rsidR="00FE69FE" w:rsidRPr="00EE57A6" w:rsidRDefault="00FE69FE" w:rsidP="00EE57A6">
      <w:pPr>
        <w:widowControl w:val="0"/>
        <w:spacing w:after="0" w:line="360" w:lineRule="auto"/>
        <w:ind w:left="360"/>
        <w:jc w:val="both"/>
        <w:rPr>
          <w:rFonts w:ascii="Trebuchet MS" w:hAnsi="Trebuchet MS"/>
          <w:b/>
          <w:bCs/>
          <w:lang w:val="ro-RO"/>
        </w:rPr>
      </w:pPr>
      <w:r w:rsidRPr="00EE57A6">
        <w:rPr>
          <w:rFonts w:ascii="Trebuchet MS" w:hAnsi="Trebuchet MS"/>
          <w:b/>
          <w:bCs/>
          <w:lang w:val="ro-RO"/>
        </w:rPr>
        <w:t xml:space="preserve">Elaborarea a minim 50 de barometre de opinie periodice realizate prin </w:t>
      </w:r>
      <w:r w:rsidRPr="00EE57A6">
        <w:rPr>
          <w:rFonts w:ascii="Trebuchet MS" w:hAnsi="Trebuchet MS"/>
          <w:b/>
          <w:bCs/>
          <w:lang w:val="ro-RO"/>
        </w:rPr>
        <w:br/>
        <w:t xml:space="preserve">sondarea percepției publice si dezvoltarea unor module pentru analize mixte – </w:t>
      </w:r>
      <w:r w:rsidRPr="00EE57A6">
        <w:rPr>
          <w:rFonts w:ascii="Trebuchet MS" w:hAnsi="Trebuchet MS"/>
          <w:b/>
          <w:bCs/>
          <w:lang w:val="ro-RO"/>
        </w:rPr>
        <w:br/>
        <w:t>combinații de indicatori hard si indicatori noi</w:t>
      </w:r>
    </w:p>
    <w:p w:rsidR="00FE69FE" w:rsidRPr="00EE57A6" w:rsidRDefault="00FE69FE" w:rsidP="00EE57A6">
      <w:pPr>
        <w:widowControl w:val="0"/>
        <w:spacing w:after="0" w:line="360" w:lineRule="auto"/>
        <w:ind w:left="360"/>
        <w:rPr>
          <w:rFonts w:ascii="Trebuchet MS" w:hAnsi="Trebuchet MS"/>
          <w:bCs/>
          <w:lang w:val="ro-RO"/>
        </w:rPr>
      </w:pPr>
      <w:r w:rsidRPr="00EE57A6">
        <w:rPr>
          <w:rFonts w:ascii="Trebuchet MS" w:hAnsi="Trebuchet MS"/>
          <w:bCs/>
          <w:lang w:val="ro-RO"/>
        </w:rPr>
        <w:t>SUBACTIVITATEA A9.2. Elaborarea periodică a unei lucrări narative de prezentare și informare bazată pe materialele de tip flash – news.</w:t>
      </w:r>
    </w:p>
    <w:p w:rsidR="00FE69FE" w:rsidRPr="00EE57A6" w:rsidRDefault="00FE69FE" w:rsidP="00EE57A6">
      <w:pPr>
        <w:widowControl w:val="0"/>
        <w:spacing w:after="0" w:line="360" w:lineRule="auto"/>
        <w:rPr>
          <w:rFonts w:ascii="Trebuchet MS" w:hAnsi="Trebuchet MS"/>
          <w:b/>
          <w:bCs/>
          <w:lang w:val="ro-RO"/>
        </w:rPr>
      </w:pPr>
    </w:p>
    <w:p w:rsidR="00FE69FE" w:rsidRPr="00EE57A6" w:rsidRDefault="00FE69FE" w:rsidP="00EE57A6">
      <w:pPr>
        <w:widowControl w:val="0"/>
        <w:spacing w:after="0" w:line="360" w:lineRule="auto"/>
        <w:rPr>
          <w:rFonts w:ascii="Trebuchet MS" w:hAnsi="Trebuchet MS"/>
          <w:lang w:val="ro-RO"/>
        </w:rPr>
      </w:pPr>
      <w:r w:rsidRPr="00EE57A6">
        <w:rPr>
          <w:rFonts w:ascii="Trebuchet MS" w:hAnsi="Trebuchet MS"/>
          <w:b/>
          <w:bCs/>
          <w:lang w:val="ro-RO"/>
        </w:rPr>
        <w:t xml:space="preserve">Elaborat de: </w:t>
      </w:r>
      <w:r w:rsidRPr="00EE57A6">
        <w:rPr>
          <w:rFonts w:ascii="Trebuchet MS" w:hAnsi="Trebuchet MS"/>
          <w:lang w:val="ro-RO"/>
        </w:rPr>
        <w:t>Costin Ciobanu, Expert analiză indicatori subiectivi de tip economic</w:t>
      </w:r>
    </w:p>
    <w:p w:rsidR="00FE69FE" w:rsidRPr="00EE57A6" w:rsidRDefault="00FE69FE" w:rsidP="00EE57A6">
      <w:pPr>
        <w:widowControl w:val="0"/>
        <w:spacing w:after="0" w:line="360" w:lineRule="auto"/>
        <w:rPr>
          <w:rFonts w:ascii="Trebuchet MS" w:hAnsi="Trebuchet MS"/>
          <w:lang w:val="ro-RO"/>
        </w:rPr>
      </w:pPr>
      <w:r w:rsidRPr="00EE57A6">
        <w:rPr>
          <w:rFonts w:ascii="Trebuchet MS" w:hAnsi="Trebuchet MS"/>
          <w:lang w:val="ro-RO"/>
        </w:rPr>
        <w:t xml:space="preserve">Data: </w:t>
      </w:r>
      <w:r w:rsidRPr="00EE57A6">
        <w:rPr>
          <w:rFonts w:ascii="Trebuchet MS" w:hAnsi="Trebuchet MS"/>
          <w:lang w:val="ro-RO"/>
        </w:rPr>
        <w:tab/>
      </w:r>
      <w:r w:rsidRPr="00EE57A6">
        <w:rPr>
          <w:rFonts w:ascii="Trebuchet MS" w:hAnsi="Trebuchet MS"/>
          <w:lang w:val="ro-RO"/>
        </w:rPr>
        <w:tab/>
      </w:r>
      <w:r w:rsidRPr="00EE57A6">
        <w:rPr>
          <w:rFonts w:ascii="Trebuchet MS" w:hAnsi="Trebuchet MS"/>
          <w:lang w:val="ro-RO"/>
        </w:rPr>
        <w:tab/>
        <w:t>28/02/2021</w:t>
      </w:r>
    </w:p>
    <w:p w:rsidR="00FE69FE" w:rsidRPr="00EE57A6" w:rsidRDefault="00FE69FE" w:rsidP="00EE57A6">
      <w:pPr>
        <w:widowControl w:val="0"/>
        <w:spacing w:after="0" w:line="360" w:lineRule="auto"/>
        <w:rPr>
          <w:rFonts w:ascii="Trebuchet MS" w:hAnsi="Trebuchet MS"/>
          <w:lang w:val="ro-RO"/>
        </w:rPr>
      </w:pPr>
      <w:r w:rsidRPr="00EE57A6">
        <w:rPr>
          <w:rFonts w:ascii="Trebuchet MS" w:hAnsi="Trebuchet MS"/>
          <w:lang w:val="ro-RO"/>
        </w:rPr>
        <w:t>Locul de desfășurare: București</w:t>
      </w:r>
    </w:p>
    <w:p w:rsidR="00FE69FE" w:rsidRPr="00EE57A6" w:rsidRDefault="00FE69FE" w:rsidP="00EE57A6">
      <w:pPr>
        <w:widowControl w:val="0"/>
        <w:spacing w:after="0" w:line="360" w:lineRule="auto"/>
        <w:rPr>
          <w:rFonts w:ascii="Trebuchet MS" w:hAnsi="Trebuchet MS"/>
          <w:lang w:val="ro-RO"/>
        </w:rPr>
      </w:pPr>
      <w:r w:rsidRPr="00EE57A6">
        <w:rPr>
          <w:rFonts w:ascii="Trebuchet MS" w:hAnsi="Trebuchet MS"/>
          <w:lang w:val="ro-RO"/>
        </w:rPr>
        <w:t xml:space="preserve">Denumire proiect: </w:t>
      </w:r>
      <w:r w:rsidRPr="00EE57A6">
        <w:rPr>
          <w:rFonts w:ascii="Trebuchet MS" w:hAnsi="Trebuchet MS"/>
          <w:lang w:val="ro-RO"/>
        </w:rPr>
        <w:tab/>
        <w:t>“România durabilă” - Dezvoltarea cadrului strategic</w:t>
      </w:r>
      <w:r w:rsidRPr="00EE57A6">
        <w:rPr>
          <w:rFonts w:ascii="Trebuchet MS" w:hAnsi="Trebuchet MS"/>
          <w:lang w:val="ro-RO"/>
        </w:rPr>
        <w:br/>
        <w:t xml:space="preserve"> </w:t>
      </w:r>
      <w:r w:rsidRPr="00EE57A6">
        <w:rPr>
          <w:rFonts w:ascii="Trebuchet MS" w:hAnsi="Trebuchet MS"/>
          <w:lang w:val="ro-RO"/>
        </w:rPr>
        <w:tab/>
      </w:r>
      <w:r w:rsidRPr="00EE57A6">
        <w:rPr>
          <w:rFonts w:ascii="Trebuchet MS" w:hAnsi="Trebuchet MS"/>
          <w:lang w:val="ro-RO"/>
        </w:rPr>
        <w:tab/>
      </w:r>
      <w:r w:rsidRPr="00EE57A6">
        <w:rPr>
          <w:rFonts w:ascii="Trebuchet MS" w:hAnsi="Trebuchet MS"/>
          <w:lang w:val="ro-RO"/>
        </w:rPr>
        <w:tab/>
        <w:t xml:space="preserve">și instituțional pentru implementarea Strategiei Naționale </w:t>
      </w:r>
      <w:r w:rsidRPr="00EE57A6">
        <w:rPr>
          <w:rFonts w:ascii="Trebuchet MS" w:hAnsi="Trebuchet MS"/>
          <w:lang w:val="ro-RO"/>
        </w:rPr>
        <w:br/>
      </w:r>
      <w:r w:rsidRPr="00EE57A6">
        <w:rPr>
          <w:rFonts w:ascii="Trebuchet MS" w:hAnsi="Trebuchet MS"/>
          <w:lang w:val="ro-RO"/>
        </w:rPr>
        <w:tab/>
      </w:r>
      <w:r w:rsidRPr="00EE57A6">
        <w:rPr>
          <w:rFonts w:ascii="Trebuchet MS" w:hAnsi="Trebuchet MS"/>
          <w:lang w:val="ro-RO"/>
        </w:rPr>
        <w:tab/>
      </w:r>
      <w:r w:rsidRPr="00EE57A6">
        <w:rPr>
          <w:rFonts w:ascii="Trebuchet MS" w:hAnsi="Trebuchet MS"/>
          <w:lang w:val="ro-RO"/>
        </w:rPr>
        <w:tab/>
        <w:t>pentru Dezvoltarea Durabilă a României 2030”</w:t>
      </w:r>
    </w:p>
    <w:p w:rsidR="00FE69FE" w:rsidRPr="00EE57A6" w:rsidRDefault="00FE69FE" w:rsidP="00EE57A6">
      <w:pPr>
        <w:spacing w:after="0" w:line="360" w:lineRule="auto"/>
        <w:jc w:val="both"/>
        <w:rPr>
          <w:rFonts w:ascii="Trebuchet MS" w:hAnsi="Trebuchet MS"/>
          <w:lang w:val="ro-RO"/>
        </w:rPr>
      </w:pPr>
      <w:r w:rsidRPr="00EE57A6">
        <w:rPr>
          <w:rFonts w:ascii="Trebuchet MS" w:hAnsi="Trebuchet MS"/>
          <w:lang w:val="ro-RO"/>
        </w:rPr>
        <w:t xml:space="preserve">Cod proiect: </w:t>
      </w:r>
      <w:r w:rsidRPr="00EE57A6">
        <w:rPr>
          <w:rFonts w:ascii="Trebuchet MS" w:hAnsi="Trebuchet MS"/>
          <w:lang w:val="ro-RO"/>
        </w:rPr>
        <w:tab/>
      </w:r>
      <w:r w:rsidRPr="00EE57A6">
        <w:rPr>
          <w:rFonts w:ascii="Trebuchet MS" w:hAnsi="Trebuchet MS"/>
          <w:lang w:val="ro-RO"/>
        </w:rPr>
        <w:tab/>
        <w:t>SIPOCA 613</w:t>
      </w:r>
    </w:p>
    <w:p w:rsidR="00FE69FE" w:rsidRPr="00EE57A6" w:rsidRDefault="00FE69FE" w:rsidP="00EE57A6">
      <w:pPr>
        <w:widowControl w:val="0"/>
        <w:spacing w:after="0" w:line="360" w:lineRule="auto"/>
        <w:rPr>
          <w:rFonts w:ascii="Trebuchet MS" w:hAnsi="Trebuchet MS"/>
          <w:sz w:val="24"/>
          <w:szCs w:val="24"/>
          <w:lang w:val="ro-RO"/>
        </w:rPr>
      </w:pPr>
    </w:p>
    <w:p w:rsidR="00FE69FE" w:rsidRPr="00EE57A6" w:rsidRDefault="00FE69FE" w:rsidP="00EE57A6">
      <w:pPr>
        <w:spacing w:after="0" w:line="360" w:lineRule="auto"/>
        <w:ind w:firstLine="567"/>
        <w:jc w:val="both"/>
        <w:rPr>
          <w:rFonts w:ascii="Trebuchet MS" w:hAnsi="Trebuchet MS"/>
          <w:b/>
          <w:bCs/>
          <w:sz w:val="24"/>
          <w:szCs w:val="24"/>
          <w:lang w:val="ro-RO"/>
        </w:rPr>
      </w:pPr>
    </w:p>
    <w:p w:rsidR="00FE69FE" w:rsidRPr="00EE57A6" w:rsidRDefault="00FE69FE" w:rsidP="00EE57A6">
      <w:pPr>
        <w:spacing w:after="0" w:line="360" w:lineRule="auto"/>
        <w:ind w:firstLine="567"/>
        <w:jc w:val="both"/>
        <w:rPr>
          <w:rFonts w:ascii="Trebuchet MS" w:hAnsi="Trebuchet MS"/>
          <w:b/>
          <w:bCs/>
          <w:sz w:val="24"/>
          <w:szCs w:val="24"/>
          <w:lang w:val="ro-RO"/>
        </w:rPr>
      </w:pP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b/>
          <w:bCs/>
          <w:sz w:val="24"/>
          <w:szCs w:val="24"/>
          <w:lang w:val="ro-RO"/>
        </w:rPr>
        <w:br w:type="page"/>
      </w:r>
      <w:r w:rsidRPr="00EE57A6">
        <w:rPr>
          <w:rFonts w:ascii="Trebuchet MS" w:hAnsi="Trebuchet MS"/>
          <w:lang w:val="ro-RO"/>
        </w:rPr>
        <w:t>Asigurarea accesului tuturor la energie la prețuri accesibile, într-un mod sigur, durabil și modern reprezintă unul dintre obiectivele de dezvoltare durabilă asumate de către România, așa cum se poate vedea în Strategia Națională pentru Dezvoltarea Durabilă a României 2030. Un punct esențial al acestei strategii se referă la dezvoltarea și consolidarea unui sistem energetic care să fie robust din punct de vedere economic (având în vedere contribuția sa la formare PIB), avansat din punct de vedere tehnologic și mai puțin poluant. Ținând cont de aspectele legate de sărăcie energetică și de faptul că, în general, România are una dintre cele mai ridicate niveluri de persoane care sunt expuse riscului de sărăcie și de excluziune socială, inclusivitatea accesului la energie este de asemenea un aspect fundamental al dezvoltării durabile din perspectivă energetică. Acest lucru se poate observa dacă este să ne focalizăm pe una dintre țintele de dezvoltare durabilă asumate de România pentru orizontul 2030: “extinderea rețelelor de transport și distribuție pentru energie electrică și gaze naturale în vederea asigurării accesului consumatorilor casnici, industriali și comerciali la surse sigure de energie la prețuri acceptabile”</w:t>
      </w:r>
      <w:r w:rsidRPr="00EE57A6">
        <w:rPr>
          <w:rStyle w:val="FootnoteReference"/>
          <w:rFonts w:ascii="Trebuchet MS" w:hAnsi="Trebuchet MS"/>
          <w:lang w:val="ro-RO"/>
        </w:rPr>
        <w:footnoteReference w:id="1"/>
      </w:r>
      <w:r w:rsidRPr="00EE57A6">
        <w:rPr>
          <w:rFonts w:ascii="Trebuchet MS" w:hAnsi="Trebuchet MS"/>
          <w:lang w:val="ro-RO"/>
        </w:rPr>
        <w:t>.</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Asupra acestui aspect ne vom referi în această analiză, care se centrează pe comparația percepțiilor subiective și a indicatorilor naționali și europeni în privința accesului la energie. Din perspectivă subiectivă, vom avea în vedere sondajul de opinie realizat în cadrul proiectului “România Durabilă” în decembrie 2020</w:t>
      </w:r>
      <w:r w:rsidRPr="00EE57A6">
        <w:rPr>
          <w:rStyle w:val="FootnoteReference"/>
          <w:rFonts w:ascii="Trebuchet MS" w:hAnsi="Trebuchet MS"/>
          <w:lang w:val="ro-RO"/>
        </w:rPr>
        <w:footnoteReference w:id="2"/>
      </w:r>
      <w:r w:rsidRPr="00EE57A6">
        <w:rPr>
          <w:rFonts w:ascii="Trebuchet MS" w:hAnsi="Trebuchet MS"/>
          <w:lang w:val="ro-RO"/>
        </w:rPr>
        <w:t xml:space="preserve"> și vom analiza: accesul românilor la rețeaua publică de energie electrică, la rețeaua publică de gaze naturale și la sistemul centralizat de încălzire; evaluarea calității acestui acces; comportamentul românilor legat de scăderea consumului energetic și felul în care unele aspecte economice interacționează cu ideea de acces la energie la prețuri accesibile. În ceea ce privește datele obiective, pornind de la datele publice ale Institutului Național de Statistică (INS) și Eurostat, dar și ale Autorității Naționale de Reglementare în Energie (ANRE), vom mapa dimensiunea accesului la aceste servicii, în special prin valorificarea variației temporale, dar și intra-regionale și județene; acolo unde datele sunt prezente, un obiectiv de luat în seamă este să punem lucrurile în perspectivă europeană.</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both"/>
        <w:rPr>
          <w:rFonts w:ascii="Trebuchet MS" w:hAnsi="Trebuchet MS"/>
          <w:b/>
          <w:bCs/>
          <w:lang w:val="ro-RO"/>
        </w:rPr>
      </w:pPr>
      <w:r w:rsidRPr="00EE57A6">
        <w:rPr>
          <w:rFonts w:ascii="Trebuchet MS" w:hAnsi="Trebuchet MS"/>
          <w:b/>
          <w:bCs/>
          <w:lang w:val="ro-RO"/>
        </w:rPr>
        <w:t>Ce spun datele obiective</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Vom începe prin a analiza lungimea totală a conductelor de distribuție a gazelor naturale, pentru perioada 2000 – 2019, potrivit indicatorului INS GOS116B. Grafic, rezultatele sunt prezentate în Figura 1.</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 xml:space="preserve">Sub aspect național, România avea 21,598 km de conducte de gaze în anul 2000, 34,726 în 2010 și 42,287 în 2019 (ultimul an pentru care avem date disponibile), ceea ce înseamnă aproape o dublare (95,8%) în 20 ani. În mod cert, aceasta este o veste bună, dar, așa cum vom vedea mai jos, aceste date trebuie raportate la numărul de români care au acces la alimentare cu gaze. </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1 – Lungimea totală a conductelor de distribuție a gazelor naturale (km, România 2000 – 2019)</w:t>
      </w:r>
    </w:p>
    <w:p w:rsidR="00FE69FE" w:rsidRPr="00EE57A6" w:rsidRDefault="00FE69FE" w:rsidP="00EE57A6">
      <w:pPr>
        <w:spacing w:after="0" w:line="360" w:lineRule="auto"/>
        <w:jc w:val="center"/>
        <w:rPr>
          <w:rFonts w:ascii="Trebuchet MS" w:hAnsi="Trebuchet MS"/>
          <w:lang w:val="ro-RO"/>
        </w:rPr>
      </w:pPr>
      <w:r w:rsidRPr="00EE57A6">
        <w:rPr>
          <w:rFonts w:ascii="Trebuchet MS" w:hAnsi="Trebuchet M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467.4pt;height:286.2pt;visibility:visible">
            <v:imagedata r:id="rId7" o:title=""/>
          </v:shape>
        </w:pict>
      </w:r>
    </w:p>
    <w:p w:rsidR="00FE69FE" w:rsidRPr="00EE57A6" w:rsidRDefault="00FE69FE" w:rsidP="00EE57A6">
      <w:pPr>
        <w:spacing w:after="0" w:line="360" w:lineRule="auto"/>
        <w:ind w:firstLine="567"/>
        <w:jc w:val="both"/>
        <w:rPr>
          <w:rFonts w:ascii="Trebuchet MS" w:hAnsi="Trebuchet MS"/>
          <w:lang w:val="ro-RO"/>
        </w:rPr>
      </w:pPr>
      <w:r>
        <w:rPr>
          <w:rFonts w:ascii="Trebuchet MS" w:hAnsi="Trebuchet MS"/>
          <w:lang w:val="ro-RO"/>
        </w:rPr>
        <w:br w:type="page"/>
      </w:r>
      <w:r w:rsidRPr="00EE57A6">
        <w:rPr>
          <w:rFonts w:ascii="Trebuchet MS" w:hAnsi="Trebuchet MS"/>
          <w:lang w:val="ro-RO"/>
        </w:rPr>
        <w:t>Sub aspect regional, situația stă în felul următor pentru cele opt regiuni de dezvoltare (NUTS 2). Pentru regiunea București – Ilfov, observăm că aveam 2553 km de conductă de gaz în anul 2000, pentru ca rețeaua să crească la 3915 km în 2010 și la 4340 km în 2019. Chiar dacă nu avem o rată de creștere similară cu cea de la nivel național, totuși creșterea este una considerabilă, ținând cont că vorbim despre cea mai dezvoltată regiune a României. Regiunea Centru (cea cu printre cele mai rezerve de gaze naturale din țară, în special în județele Sibiu și Mureș) avea în anul 2000 6546 km de conductă de gaz, iar următoarele două decenii au arătat o creștere moderată, de doar 37,2% comparativ cu media națională de 95,8%. În regiunea Nord – Est, erau în 2000 1774 km de conductă de gaz, iar numărul a crescut la 3086 km în 2010 și la 4676 km în 2019, ceea ce reprezintă un progres de 163,6% pentru una dintre cele mai sărace zone din România ca PIB per capita. În regiunea Nord-Vest, aveam 3205 km de conductă în 2000, 5445 km în 2010 și 6567 km în 2019 – un avans de 104,9%. În regiunea de Sud-Est, anul 2000 ne găsea cu 1093 km de conductă de gaz, număr care a crescut la 2562 km în 2010 și la 3465 km în 2019 – o creștere considerabilă de 217%. Regiunea Sud-Muntenia avea 2894 km de conductă de gaz în 2000, 5418 km în 2010 și 6959 km în 2019 – o creștere în 140,5%. În Sud-Vest Oltenia, progresul a fost de la 1368 km în 2000, 2323 km în 2010 și 2648 km în 2019 – un plus de 93,6% față de anul 2000. În fine, în regiunea Vest, evoluția a fost de asemenea ascendentă: 2165 km în 2000, 3765 km în 2010 și 4649 km în 2019, ceea ce se traduce într-o schimbare de 114,7%.</w:t>
      </w:r>
    </w:p>
    <w:p w:rsidR="00FE69FE" w:rsidRPr="00EE57A6" w:rsidRDefault="00FE69FE" w:rsidP="00EE57A6">
      <w:pPr>
        <w:spacing w:after="0" w:line="360" w:lineRule="auto"/>
        <w:ind w:firstLine="567"/>
        <w:jc w:val="both"/>
        <w:rPr>
          <w:rFonts w:ascii="Trebuchet MS" w:hAnsi="Trebuchet MS"/>
          <w:i/>
          <w:iCs/>
          <w:lang w:val="ro-RO"/>
        </w:rPr>
      </w:pPr>
      <w:r w:rsidRPr="00EE57A6">
        <w:rPr>
          <w:rFonts w:ascii="Trebuchet MS" w:hAnsi="Trebuchet MS"/>
          <w:lang w:val="ro-RO"/>
        </w:rPr>
        <w:t xml:space="preserve">Pentru a concluziona, vedem la nivel regional o creștere a numărului de kilometri de conductă de gaze naturale în ultimele două decenii, cu rate de creștere care sunt influențate și de nivelul anterior de dezvoltare economică. Totuși, dacă ne uităm în general la situația la nivel de județ, vedem o scădere a ratei de creștere în ultimii ani, ceea ce este îngrijorător pentru o țară în care, vom vedea, doar ceva mai mult de 40% din populație este racordată la rețeaua publică de gaze. Decizia de a accelera racordarea populației la rețeaua de gaze naturale este una strategică și trebuie luată, considerând atât aspecte de ordin economic, cât și cele de ordin ecologic și de reducere a efectului negativ al schimbărilor climatice, inclusiv abordările la nivel european surprinse în ceea ce este cunoscut drept </w:t>
      </w:r>
      <w:r w:rsidRPr="00EE57A6">
        <w:rPr>
          <w:rFonts w:ascii="Trebuchet MS" w:hAnsi="Trebuchet MS"/>
          <w:i/>
          <w:iCs/>
          <w:lang w:val="ro-RO"/>
        </w:rPr>
        <w:t>A European Green Deal.</w:t>
      </w:r>
    </w:p>
    <w:p w:rsidR="00FE69FE" w:rsidRPr="00EE57A6" w:rsidRDefault="00FE69FE" w:rsidP="00EE57A6">
      <w:pPr>
        <w:spacing w:after="0" w:line="360" w:lineRule="auto"/>
        <w:ind w:firstLine="567"/>
        <w:jc w:val="both"/>
        <w:rPr>
          <w:rFonts w:ascii="Trebuchet MS" w:hAnsi="Trebuchet MS"/>
          <w:lang w:val="ro-RO"/>
        </w:rPr>
      </w:pPr>
      <w:r>
        <w:rPr>
          <w:rFonts w:ascii="Trebuchet MS" w:hAnsi="Trebuchet MS"/>
          <w:lang w:val="ro-RO"/>
        </w:rPr>
        <w:br w:type="page"/>
      </w:r>
      <w:r w:rsidRPr="00EE57A6">
        <w:rPr>
          <w:rFonts w:ascii="Trebuchet MS" w:hAnsi="Trebuchet MS"/>
          <w:lang w:val="ro-RO"/>
        </w:rPr>
        <w:t>Următorul aspect la care ne vom referi este cel al consumului de gaze naturale distribuite pentru uz casnic din sistemul public (în milioane de metri cubi), pentru perioada 2000 – 2019. Datele sunt furnizate de către INS (indicator GOS118B). Figura 2 prezintă evoluțiile de analizat.</w:t>
      </w:r>
    </w:p>
    <w:p w:rsidR="00FE69FE" w:rsidRDefault="00FE69FE" w:rsidP="00EE57A6">
      <w:pPr>
        <w:spacing w:after="0" w:line="360" w:lineRule="auto"/>
        <w:ind w:firstLine="567"/>
        <w:jc w:val="center"/>
        <w:rPr>
          <w:rFonts w:ascii="Trebuchet MS" w:hAnsi="Trebuchet MS"/>
          <w:b/>
          <w:bC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2 – Consumul de gaze naturale distribuite pentru uz casnic din sistemul public (România, 2000 - 2019)</w:t>
      </w:r>
    </w:p>
    <w:p w:rsidR="00FE69FE" w:rsidRPr="00EE57A6" w:rsidRDefault="00FE69FE" w:rsidP="00EE57A6">
      <w:pPr>
        <w:spacing w:after="0" w:line="360" w:lineRule="auto"/>
        <w:rPr>
          <w:rFonts w:ascii="Trebuchet MS" w:hAnsi="Trebuchet MS"/>
          <w:b/>
          <w:bCs/>
          <w:lang w:val="ro-RO"/>
        </w:rPr>
      </w:pPr>
      <w:r w:rsidRPr="00EE57A6">
        <w:rPr>
          <w:rFonts w:ascii="Trebuchet MS" w:hAnsi="Trebuchet MS"/>
          <w:b/>
          <w:noProof/>
        </w:rPr>
        <w:pict>
          <v:shape id="Picture 2" o:spid="_x0000_i1028" type="#_x0000_t75" style="width:467.4pt;height:286.2pt;visibility:visible">
            <v:imagedata r:id="rId8" o:title=""/>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Chiar dacă, așa cum am văzut mai sus, numărul de kilometri de conductă de gaze naturale aproape s-a dublat în 20 ani, nu putem spune același lucru despre consumul de gaze naturale pentru uz casnic. O concluzie în privința acestui indicator trebuie să ia în considerare și evoluția populației în acest interval de timp (dar și costul metrului cub de gaz), dar se poate vedea în Figura 2 este o scădere a consumului la nivel național. Mai exact, România avea un consum de 3742 milioane de metri cub de gaz în 2000, unul de 2823 milioane în 2010, pentru ca în 2019 să fim la 3080 milioane. După o scădere generală, dar cu fluctuații a consumului între 2004 și 2014, acesta începe să crească din nou după 2015, înregistrând în 2017, pentru prima dată după 2003, un număr peste 3000 milioane de metri cubi. În general, comparând anul 2000 cu anul 2019, scăderea consumului de gaze naturale pentru uz casnic a fost de -17,7%.</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Dincolo de evoluția temporală la nivel național, este important să surprindem ce s-a întâmplat la nivel regional, aici urmând a ne concentra din nou pe cele opt regiuni de dezvoltare. În București – Ilfov, consumul era de 453 milioane de metri cubi în 2000, în 2010 el a fost de 510, pentru ca, în 2019, numărul să fie 458, foarte aproape deci de anul 2000, ceea ce înseamnă o schimbare de doar 1,1%. În regiunea Centru, consumul de gaze naturale pentru uz casnic a scăzut de la 1084 milioane metri cubi în 2000, la 571 milioane în 2010 și la 581 milioane în 2019 – o scădere de 46,4% pentru întreaga perioadă. În regiunea de Nord-Est, avem practic stabilitate în privința consumului pentru ultimii 20 ani: în 2000 se consumau 363 milioane de metri cubi, în 2010 342 milioane, pentru ca în 2019 să avem din nou 363 milioane. Așa cum discutam, acest lucru s-a făcut în ciudat creșterii lungimii conductelor de gaze cu aproape 164%. În regiunea de Nord-Vest, avem o scădere a consumului de gaz: 690 milioane de metri cubi în 2000, 403 milioane în 2010 și 411 în 2019 – o scădere de 40,4% pentru întreaga perioadă. Pe de altă parte, în regiune de Sud-Est, consumul de gaze în gospodării a crescut în ultimii 20 ani: 261 milioane de metri cubi în 2000, 2003 milioane în 2010 și 314 milioane în 2019 – un avans de 20,3%. În Sud-Muntenia, avem din nou o creștere a consumului, de la 391 milioane de metri cubi în 2000, la 377 milioane în 2010 și 475 milioane în 2019 – un avans de 21,5% în 20 ani. În Sud-Vest Oltenia, consumul casnic de gaze naturale a scăzut în perioada analizată: 248 milioane de metri cubi în 2000, 161 milioane în 2010 și 162 milioane în 2019 – scăderea a fost de 34.7%. În ceea ce privește regiunea Vest, aici înregistrăm o creștere a consumului, de la 252 milioane în 2000, la 255 în 2010 și la 316 în 2019 – o creștere de 25,4% pentru aceste ultime două decenii.</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Concluzionând, putem vedea în general o scădere a consumului de gaze în România la nivel de gospodării. Totuși, această scădere nu este una uniformă, pentru că, pe lângă regiunile care se încadrează în tendința națională (Centru, Nord-Vest, Sud-Vest), în unele regiuni de dezvoltare consumul a stagnat (București-Ilfov, Nord-Est), în timp ce în altele a crescut (Sud-Est, Sud-Muntenia, Vest).</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Nu există date INS clare despre câți români au acces la rețeaua publică de gaze naturale. Pentru a ne forma o opinie, aici putem consulta unele date furnizate de către Autoritatea Națională de Reglementare în Energie (ANRE). Potrivit Raportului privind rezultatele monitorizării pieței de gaze naturale din luna octombrie 2020</w:t>
      </w:r>
      <w:r w:rsidRPr="00EE57A6">
        <w:rPr>
          <w:rStyle w:val="FootnoteReference"/>
          <w:rFonts w:ascii="Trebuchet MS" w:hAnsi="Trebuchet MS"/>
          <w:lang w:val="ro-RO"/>
        </w:rPr>
        <w:footnoteReference w:id="3"/>
      </w:r>
      <w:r w:rsidRPr="00EE57A6">
        <w:rPr>
          <w:rFonts w:ascii="Trebuchet MS" w:hAnsi="Trebuchet MS"/>
          <w:lang w:val="ro-RO"/>
        </w:rPr>
        <w:t xml:space="preserve"> (pagina 17), sistemul deservea un număr total de 4,132,025 clienți casnici și non-casnici, din care 3,906,646 erau clienți casnici (75,85% din piață), iar 225,379 erau clienți non-casnici. Pentru clienții casnici, putem raporta această cifră la numărul total de locuințe care există în țară. Astfel, potrivit indicatorului INS LOC101A, la sfârșitul lui 2019 (anul cel mai recent pentru care există date publicate) aveam în România 9092963 locuințe (o creștere de 15% față de anul 2000, când erau 7907520 locuințe în România). Dacă este să asumăm că un client înseamnă o locuință (ceea ce este o asumpție rezonabilă), atunci rezultă că doar 43% dintre gospodării au acces la  rețeaua de gaze naturale. Numărul este apropiat de ceea ce susțineau unii decidenți publici, care, în 2018,  afirmau că doar 35% din populația României are acces la gaze naturale, față de 90% din populația din Ungaria</w:t>
      </w:r>
      <w:r w:rsidRPr="00EE57A6">
        <w:rPr>
          <w:rStyle w:val="FootnoteReference"/>
          <w:rFonts w:ascii="Trebuchet MS" w:hAnsi="Trebuchet MS"/>
          <w:lang w:val="ro-RO"/>
        </w:rPr>
        <w:footnoteReference w:id="4"/>
      </w:r>
      <w:r w:rsidRPr="00EE57A6">
        <w:rPr>
          <w:rFonts w:ascii="Trebuchet MS" w:hAnsi="Trebuchet MS"/>
          <w:lang w:val="ro-RO"/>
        </w:rPr>
        <w:t>. De altfel, în 2020, Guvernul a adoptat OUG nr. 128 din 31 iulie 2020 privind unele măsuri pentru instituirea Programului național de racordare a populației și clienților non-casnici la sistemul inteligent de distribuție a gazelor naturale, care ar presupune o investiție de un miliard de euro până în 2029</w:t>
      </w:r>
      <w:r w:rsidRPr="00EE57A6">
        <w:rPr>
          <w:rStyle w:val="FootnoteReference"/>
          <w:rFonts w:ascii="Trebuchet MS" w:hAnsi="Trebuchet MS"/>
          <w:lang w:val="ro-RO"/>
        </w:rPr>
        <w:footnoteReference w:id="5"/>
      </w:r>
      <w:r w:rsidRPr="00EE57A6">
        <w:rPr>
          <w:rFonts w:ascii="Trebuchet MS" w:hAnsi="Trebuchet MS"/>
          <w:lang w:val="ro-RO"/>
        </w:rPr>
        <w:t>.</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continuare, vom investiga situația energiei termice distribuite pentru uz casnic din sistemul public (zeci de mii de gigacalorii, România, 2000 - 2019). Datele sunt furnizate de către INS (indicator GOD109B). Evoluțiile pot fi vizualizate în Figura 3.</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La nivel național, cantitatea de energie termică din Sistemul de Alimentare Centralizată cu Energie Termică (SACET) a scăzut considerabil în ultimele două decenii: de la 2569 zecii de mii Gcal în 2000, la 1100 în 2010 la 567 în 2019 – o scădere de 77,9%. Este o temă care, în mod cert, are nevoie de o discuție aprofundată în contextul felului în care planificăm tranziția către o societate mai verde și mai eficientă energetic.</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Din nou, vom analiza dacă această scădere se regăsește și la nivelul celor opt regiuni de dezvoltare sau dacă sunt variații semnificative care ne pot ajuta să înțelegem mai bine situația. Astfel, în regiunea București – Ilfov, energia termică distribuită pentru uz casnic a scăzut de la 678 zeci de mii de Gcal în 2000, la 425 în 2010 și la 244 în 2019, ceea ce se traduce într-o scădere de 64%. În regiunea Centru, de la 346 zeci de mii de Gcal în 2000 se ajunge la 36,9 în 2010 și la 7,52 în 2019 – un regres de 97,8%. Tendința este similară pentru regiunea de Nord-Est: 290 în 2000, 86,4 în 2010 și 34,9 în 2019 – o scădere de 88%. În Nord-Vest, se distribuiau 285 zeci de mii de Gcal în 2000, 101 în 2010 și 60,7 în 2019 – din nou, o scădere 78,7%. Nici în Sud-Est, lucrurile nu stau diferit: 279 în 2000, 155 în 2010 și 60,1 în 2019 – o scădere de 78,5%. În Sud-Muntenia, în 2000 aveam 232 zeci de mii de Gcal, pentru a ajunge în 2010 la 96,1 și la 50,8 în 2019 – un regres de 78,1%. În Sud-Vest, scăderea a fost de la 175 în 2000, la 91,4 în 2010, la 61,1 în 2019 – pentru întreaga perioadă, -65,1%. În fine, pentru regiunea Vest, observăm același fenomen: 283 în 2000, 109 în 2010 și 48,1 în 2019 – o scădere de 83%. Concluzionând, vedem o prăbușire a cantității de energie termică distribuită prin SACET. Această evoluție se regăsește la nivelul fiecărei regiuni de dezvoltare, demonstrând că regresul este unul generalizat și uniform.</w:t>
      </w:r>
    </w:p>
    <w:p w:rsidR="00FE69FE" w:rsidRPr="00EE57A6" w:rsidRDefault="00FE69FE" w:rsidP="00EE57A6">
      <w:pPr>
        <w:spacing w:after="0" w:line="360" w:lineRule="auto"/>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3 – Energia termică distribuită pentru uz casnic din sistemul public (zeci de mii de Gcal, România, 2000 - 2019)</w:t>
      </w:r>
    </w:p>
    <w:p w:rsidR="00FE69FE" w:rsidRPr="00EE57A6" w:rsidRDefault="00FE69FE" w:rsidP="00EE57A6">
      <w:pPr>
        <w:spacing w:after="0" w:line="360" w:lineRule="auto"/>
        <w:rPr>
          <w:rFonts w:ascii="Trebuchet MS" w:hAnsi="Trebuchet MS"/>
          <w:b/>
          <w:bCs/>
          <w:lang w:val="ro-RO"/>
        </w:rPr>
      </w:pPr>
      <w:r w:rsidRPr="00EE57A6">
        <w:rPr>
          <w:rFonts w:ascii="Trebuchet MS" w:hAnsi="Trebuchet MS"/>
          <w:b/>
          <w:noProof/>
        </w:rPr>
        <w:pict>
          <v:shape id="Picture 3" o:spid="_x0000_i1029" type="#_x0000_t75" style="width:467.4pt;height:286.2pt;visibility:visible">
            <v:imagedata r:id="rId9" o:title=""/>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Pentru a aprofunda aceste date, am consultat Raportul ANRE privind starea serviciului public de alimentare cu energie termică în sistem centralizat pentru anul 2019.</w:t>
      </w:r>
      <w:r w:rsidRPr="00EE57A6">
        <w:rPr>
          <w:rStyle w:val="FootnoteReference"/>
          <w:rFonts w:ascii="Trebuchet MS" w:hAnsi="Trebuchet MS"/>
          <w:lang w:val="ro-RO"/>
        </w:rPr>
        <w:footnoteReference w:id="6"/>
      </w:r>
      <w:r w:rsidRPr="00EE57A6">
        <w:rPr>
          <w:rFonts w:ascii="Trebuchet MS" w:hAnsi="Trebuchet MS"/>
          <w:lang w:val="ro-RO"/>
        </w:rPr>
        <w:t xml:space="preserve"> Potrivit Raportului (pagina 18), la nivel național există un număr total de 1156202 consumatori deserviți de SACET, din care 1140321 consumatori reprezintă locuințele (apartamente și/sau case). Dacă este să ne raportăm la numărul total de locuințe din țară (indicator INS LOC101A) din 2019 - 9092963, atunci avem 12,5% din locuințe conectate la SACET, deci aproximativ o optime din numărul total de locuințe.</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Pe baza datelor ANRE din raportul din 2019 mai sus amintit privind numărul de locuințe alimentate din SACET, precum și a numărului total de locuințe pe fiecare regiune de dezvoltare (indicator INS LOC101A), am calculat, pentru fiecare dintre cele opt regiuni și pentru anul 2019, proporția locuințelor conectate la SACET. Rezultatele sunt prezentate în Figura 4.</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4 - Proporția locuințelor conectate la Sistemul de Alimentare Centralizată cu Energie Termică (%, România, 2019)</w:t>
      </w:r>
    </w:p>
    <w:p w:rsidR="00FE69FE" w:rsidRPr="00EE57A6" w:rsidRDefault="00FE69FE" w:rsidP="00EE57A6">
      <w:pPr>
        <w:spacing w:after="0" w:line="360" w:lineRule="auto"/>
        <w:jc w:val="both"/>
        <w:rPr>
          <w:rFonts w:ascii="Trebuchet MS" w:hAnsi="Trebuchet MS"/>
          <w:b/>
          <w:bCs/>
          <w:lang w:val="ro-RO"/>
        </w:rPr>
      </w:pPr>
      <w:r w:rsidRPr="00EE57A6">
        <w:rPr>
          <w:rFonts w:ascii="Trebuchet MS" w:hAnsi="Trebuchet MS"/>
          <w:b/>
          <w:noProof/>
        </w:rPr>
        <w:pict>
          <v:shape id="Picture 5" o:spid="_x0000_i1030" type="#_x0000_t75" style="width:463.8pt;height:309pt;visibility:visible">
            <v:imagedata r:id="rId10" o:title=""/>
          </v:shape>
        </w:pict>
      </w:r>
    </w:p>
    <w:p w:rsidR="00FE69FE" w:rsidRPr="00EE57A6" w:rsidRDefault="00FE69FE" w:rsidP="00EE57A6">
      <w:pPr>
        <w:spacing w:after="0" w:line="360" w:lineRule="auto"/>
        <w:ind w:firstLine="567"/>
        <w:jc w:val="both"/>
        <w:rPr>
          <w:rFonts w:ascii="Trebuchet MS" w:hAnsi="Trebuchet MS"/>
          <w:lang w:val="ro-RO"/>
        </w:rPr>
      </w:pPr>
      <w:r>
        <w:rPr>
          <w:rFonts w:ascii="Trebuchet MS" w:hAnsi="Trebuchet MS"/>
          <w:lang w:val="ro-RO"/>
        </w:rPr>
        <w:br w:type="page"/>
      </w:r>
      <w:r w:rsidRPr="00EE57A6">
        <w:rPr>
          <w:rFonts w:ascii="Trebuchet MS" w:hAnsi="Trebuchet MS"/>
          <w:lang w:val="ro-RO"/>
        </w:rPr>
        <w:t xml:space="preserve">Așa cum se poate vedea, doar în București peste 50% (mai exact 52,4%) din locuințe sunt conectate la SACET. Valori peste 10% avem doar în Regiunea de Sud-Vest (12,4%) și în Regiunea Vest (11,1%). În rest, valorile sunt între 5 și 10% (5,3% în Nord-Est, 5,8% în Sud, 7,9% în Nord-Vest și 8,7% în Sud-Est), pentru ca în regiunea Centru doar 1,5% dintre locuințe să aibă acces la SACET. Pe baza acestor date, putem spune că SACET se îndreaptă, fără luarea unor măsuri majore care să inverseze aceste tendințe, spre extincție. </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Ca pas următor, am analizat evoluția Indicelui Prețurilor de Consum, în procente, pentru perioada 2000 – 2020. Pentru comparație, ne axăm pe luna decembrie a anului respectiv comparativ cu luna decembrie a anului precedent. În analiză, ne vom referi la evoluția generală a prețurilor, dar și la evoluția prețurilor la energie electrică, gaze și încălzire centrală, care va fi mai departe diferențiată pentru a identifica felul în care prețurile au evoluat pentru fiecare dintre cele trei categorii (energie electrică vs. energie termică vs. gaze naturale). Analiza se bazează pe datele INS (indicator IPC102D). Grafic, luc</w:t>
      </w:r>
      <w:r>
        <w:rPr>
          <w:rFonts w:ascii="Trebuchet MS" w:hAnsi="Trebuchet MS"/>
          <w:lang w:val="ro-RO"/>
        </w:rPr>
        <w:t>rurile sunt prezentate în Fig</w:t>
      </w:r>
      <w:r w:rsidRPr="00EE57A6">
        <w:rPr>
          <w:rFonts w:ascii="Trebuchet MS" w:hAnsi="Trebuchet MS"/>
          <w:lang w:val="ro-RO"/>
        </w:rPr>
        <w:t xml:space="preserve"> 5.</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5 – Evoluția Indicelui Prețurilor de Consum (%, România, 2000 - 2020)</w:t>
      </w:r>
    </w:p>
    <w:p w:rsidR="00FE69FE" w:rsidRDefault="00FE69FE" w:rsidP="00EE57A6">
      <w:pPr>
        <w:spacing w:after="0" w:line="360" w:lineRule="auto"/>
        <w:jc w:val="center"/>
        <w:rPr>
          <w:rFonts w:ascii="Trebuchet MS" w:hAnsi="Trebuchet MS"/>
          <w:b/>
          <w:noProof/>
        </w:rPr>
      </w:pPr>
      <w:r w:rsidRPr="00EE57A6">
        <w:rPr>
          <w:rFonts w:ascii="Trebuchet MS" w:hAnsi="Trebuchet MS"/>
          <w:b/>
          <w:noProof/>
        </w:rPr>
        <w:pict>
          <v:shape id="Picture 6" o:spid="_x0000_i1031" type="#_x0000_t75" style="width:468pt;height:280.8pt;visibility:visible">
            <v:imagedata r:id="rId11" o:title=""/>
          </v:shape>
        </w:pict>
      </w:r>
    </w:p>
    <w:p w:rsidR="00FE69FE" w:rsidRPr="00EE57A6" w:rsidRDefault="00FE69FE" w:rsidP="00EE57A6">
      <w:pPr>
        <w:spacing w:after="0" w:line="360" w:lineRule="auto"/>
        <w:jc w:val="center"/>
        <w:rPr>
          <w:rFonts w:ascii="Trebuchet MS" w:hAnsi="Trebuchet MS"/>
          <w:b/>
          <w:bCs/>
          <w:lang w:val="ro-RO"/>
        </w:rPr>
      </w:pPr>
      <w:r>
        <w:rPr>
          <w:rFonts w:ascii="Trebuchet MS" w:hAnsi="Trebuchet MS"/>
          <w:b/>
          <w:noProof/>
        </w:rPr>
        <w:br w:type="page"/>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 xml:space="preserve"> În medie, între 2000 și 2020, prețurile generale au crescut cu 6,61%. Tot în medie, creșterea pentru categoria de produse </w:t>
      </w:r>
      <w:r w:rsidRPr="00EE57A6">
        <w:rPr>
          <w:rFonts w:ascii="Trebuchet MS" w:hAnsi="Trebuchet MS"/>
          <w:i/>
          <w:iCs/>
          <w:lang w:val="ro-RO"/>
        </w:rPr>
        <w:t xml:space="preserve">energie electrică, gaze naturale și energie termică </w:t>
      </w:r>
      <w:r w:rsidRPr="00EE57A6">
        <w:rPr>
          <w:rFonts w:ascii="Trebuchet MS" w:hAnsi="Trebuchet MS"/>
          <w:lang w:val="ro-RO"/>
        </w:rPr>
        <w:t>a fost de 10,2%. Atunci când diferențiem în interiorul acestei ultime categorii, avem următoarele creșteri medii pentru ultimii 21 ani: 7,96% pentru energie electrică, 10,9% pentru energie termică și 14,7% pentru gaze. După cum se poate vedea în Figura 5, începutul anilor 2000 se caracterizează prin unele creșteri spectaculoase de prețuri, așa că este nimerit ca, în loc de medie, să folosim mediana, pentru a reduce influența acestor valori extreme. Dacă urmăm această cale, atunci creșterile de prețuri sunt următoarele: prețuri generale – 4,8%; energie electrică, gaze și încălzire centrală – 7,58%; energie electrică – 5,89%; energie termică – 4,39%; gaze naturale – 6,34%. Oricum am privi situația, observăm că prețurile din energie, comparativ cu prețurile generale, agregate, au crescut mai mult, în medie (sau mediană), în ultimii 21 ani.</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Dacă tot am discutat de prețuri, următorul aspect pe care îl vom analiza ține de proporția populației care nu-și poate încălzi locuința în mod adecvat, indicator care încearcă să surprindă parțial fenomenul sărăciei energetice. Datele sunt furnizate de către Eurostat (indicator SDG_07_60), surprind perioada 2005 – 2019 și sunt prezentate în rezumat în Figura 6.</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Pentru România, seria de date începe cu anul 2007, anul intrării în Uniune. Dacă în acel an, o treime dintre români (33,3%) aveau dificultăți în a-și încălzi locuința în mod adecvat, acest număr s-a redus constant. În 2019, proporția scăzuse la 9,3%, ceea ce se traduce în faptul că doar unul din zece români avea acum doi ani astfel de probleme. Media UE28 pentru același an era de 7%. Polonia, un reper pentru Europa Centrală și de Est, avea o performanță de mai bine de două ori mai bună decât a noastră în 2019: doar 4,2% dintre polonezi nu-și puteau încălzi locuința în mod adecvat. Polonezii au pornit de la un nivel similar cu România: 33,6% în 2005. În Germania, în 2019, doar 2,5% dintre nemții raportau o asemenea problemă.</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Chiar dacă evoluția pe termen mediu este încurajatoare, un număr important de români se luptă cu sărăcia energetică, iar deciziile de mărire a prețurilor (care, așa cum am văzut, au tot crescut cu cifre de peste 5% pe an în ultimii 21 ani) trebuie să considere cum vom proteja această categorie vulnerabilă.</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Înainte de a finaliza analiza datelor obiective prezente, vom arunca o privire asupra dotării cu instalații a noilor locuințe, în funcție de anul finalizării lor. Datele sunt furnizate de către INS (indicator LOC104D) și surprind perioada 2000 – 2019. Grafic, rezultatele sunt prezentate în Figura 7. Așa cum se poate observa, în 2019, din 67488 noi locuințe, 67388 (99,9%) aveau instalație electrică, 66630 (98,7%) aveau baie, 63526 (94,1%) aveau alimentare cu apă potabilă, 62389 (92,4%) aveau centrală termică, 57358 (85%) aveau sistem de canalizare, 4385 (6,5%) se</w:t>
      </w:r>
      <w:r w:rsidRPr="003B03D8">
        <w:rPr>
          <w:rFonts w:ascii="Trebuchet MS" w:hAnsi="Trebuchet MS"/>
          <w:lang w:val="ro-RO"/>
        </w:rPr>
        <w:t xml:space="preserve"> </w:t>
      </w:r>
      <w:r w:rsidRPr="00EE57A6">
        <w:rPr>
          <w:rFonts w:ascii="Trebuchet MS" w:hAnsi="Trebuchet MS"/>
          <w:lang w:val="ro-RO"/>
        </w:rPr>
        <w:t>încălzeau cu combustibil solid (e.g. lemne de foc, cărbuni), iar 125 (0,2%) aveau sobă cu gaze. Față de anul 2000, cifrele prezintă o clară îmbunătățire și scot în evidență că intervențiile trebuie făcute la locuințele vechi, pentru a fi mai bine dotate, mai puțin poluante și mai eficiente energetic.</w:t>
      </w:r>
    </w:p>
    <w:p w:rsidR="00FE69FE" w:rsidRDefault="00FE69FE" w:rsidP="00EE57A6">
      <w:pPr>
        <w:spacing w:after="0" w:line="360" w:lineRule="auto"/>
        <w:ind w:firstLine="567"/>
        <w:jc w:val="center"/>
        <w:rPr>
          <w:rFonts w:ascii="Trebuchet MS" w:hAnsi="Trebuchet MS"/>
          <w:b/>
          <w:bC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6 - Proporția populației care nu-și poate încălzi locuința în mod adecvat (%, UE28, 2005 - 2019)</w:t>
      </w:r>
    </w:p>
    <w:p w:rsidR="00FE69FE" w:rsidRPr="00EE57A6" w:rsidRDefault="00FE69FE" w:rsidP="00EE57A6">
      <w:pPr>
        <w:spacing w:after="0" w:line="360" w:lineRule="auto"/>
        <w:jc w:val="center"/>
        <w:rPr>
          <w:rFonts w:ascii="Trebuchet MS" w:hAnsi="Trebuchet MS"/>
          <w:b/>
          <w:bCs/>
          <w:lang w:val="ro-RO"/>
        </w:rPr>
      </w:pPr>
      <w:r w:rsidRPr="00EE57A6">
        <w:rPr>
          <w:rFonts w:ascii="Trebuchet MS" w:hAnsi="Trebuchet MS"/>
          <w:b/>
          <w:noProof/>
        </w:rPr>
        <w:pict>
          <v:shape id="Picture 7" o:spid="_x0000_i1032" type="#_x0000_t75" style="width:388.8pt;height:291.6pt;visibility:visible">
            <v:imagedata r:id="rId12" o:title=""/>
          </v:shape>
        </w:pict>
      </w:r>
    </w:p>
    <w:p w:rsidR="00FE69FE" w:rsidRPr="00EE57A6" w:rsidRDefault="00FE69FE" w:rsidP="00EE57A6">
      <w:pPr>
        <w:spacing w:after="0" w:line="360" w:lineRule="auto"/>
        <w:jc w:val="center"/>
        <w:rPr>
          <w:rFonts w:ascii="Trebuchet MS" w:hAnsi="Trebuchet MS"/>
          <w:b/>
          <w:bCs/>
          <w:lang w:val="ro-RO"/>
        </w:rPr>
      </w:pPr>
      <w:r>
        <w:rPr>
          <w:rFonts w:ascii="Trebuchet MS" w:hAnsi="Trebuchet MS"/>
          <w:b/>
          <w:bCs/>
          <w:lang w:val="ro-RO"/>
        </w:rPr>
        <w:br w:type="page"/>
      </w:r>
      <w:r w:rsidRPr="00EE57A6">
        <w:rPr>
          <w:rFonts w:ascii="Trebuchet MS" w:hAnsi="Trebuchet MS"/>
          <w:b/>
          <w:bCs/>
          <w:lang w:val="ro-RO"/>
        </w:rPr>
        <w:t>Figura 7 - Locuințe terminate în cursul anului indicat, după dotarea cu instalații (număr locuințe, România, 2000 - 2019)</w:t>
      </w:r>
    </w:p>
    <w:p w:rsidR="00FE69FE" w:rsidRPr="00EE57A6" w:rsidRDefault="00FE69FE" w:rsidP="00EE57A6">
      <w:pPr>
        <w:spacing w:after="0" w:line="360" w:lineRule="auto"/>
        <w:jc w:val="center"/>
        <w:rPr>
          <w:rFonts w:ascii="Trebuchet MS" w:hAnsi="Trebuchet MS"/>
          <w:b/>
          <w:bCs/>
          <w:lang w:val="ro-RO"/>
        </w:rPr>
      </w:pPr>
      <w:r w:rsidRPr="00EE57A6">
        <w:rPr>
          <w:rFonts w:ascii="Trebuchet MS" w:hAnsi="Trebuchet MS"/>
          <w:b/>
          <w:noProof/>
        </w:rPr>
        <w:pict>
          <v:shape id="Picture 8" o:spid="_x0000_i1033" type="#_x0000_t75" style="width:367.2pt;height:244.8pt;visibility:visible">
            <v:imagedata r:id="rId13" o:title=""/>
          </v:shape>
        </w:pict>
      </w:r>
    </w:p>
    <w:p w:rsidR="00FE69FE" w:rsidRPr="00EE57A6" w:rsidRDefault="00FE69FE" w:rsidP="00EE57A6">
      <w:pPr>
        <w:spacing w:after="0" w:line="360" w:lineRule="auto"/>
        <w:jc w:val="both"/>
        <w:rPr>
          <w:rFonts w:ascii="Trebuchet MS" w:hAnsi="Trebuchet MS"/>
          <w:lang w:val="ro-RO"/>
        </w:rPr>
      </w:pPr>
      <w:r>
        <w:rPr>
          <w:rFonts w:ascii="Trebuchet MS" w:hAnsi="Trebuchet MS"/>
          <w:lang w:val="ro-RO"/>
        </w:rPr>
        <w:br w:type="page"/>
      </w:r>
    </w:p>
    <w:p w:rsidR="00FE69FE" w:rsidRPr="00EE57A6" w:rsidRDefault="00FE69FE" w:rsidP="00EE57A6">
      <w:pPr>
        <w:spacing w:after="0" w:line="360" w:lineRule="auto"/>
        <w:ind w:firstLine="567"/>
        <w:jc w:val="both"/>
        <w:rPr>
          <w:rFonts w:ascii="Trebuchet MS" w:hAnsi="Trebuchet MS"/>
          <w:b/>
          <w:bCs/>
          <w:lang w:val="ro-RO"/>
        </w:rPr>
      </w:pPr>
      <w:r w:rsidRPr="00EE57A6">
        <w:rPr>
          <w:rFonts w:ascii="Trebuchet MS" w:hAnsi="Trebuchet MS"/>
          <w:b/>
          <w:bCs/>
          <w:lang w:val="ro-RO"/>
        </w:rPr>
        <w:t>Ce spun datele subiective</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Partea a doua a analizei se va concentra pe sondajul de opinie realizat în cadrul proiectului România Durabilă (RD12). Vom începe cu evaluările cetățenilor despre utilizarea energiei electrice furnizate prin rețeaua publică. Grafic, rezultatele sunt prezente în Figura 8.</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8 – Evaluări privind utilizarea energiei electrice (sondaj de opinie RD12)</w:t>
      </w:r>
    </w:p>
    <w:p w:rsidR="00FE69FE" w:rsidRPr="00EE57A6" w:rsidRDefault="00FE69FE" w:rsidP="00EE57A6">
      <w:pPr>
        <w:spacing w:after="0" w:line="360" w:lineRule="auto"/>
        <w:jc w:val="center"/>
        <w:rPr>
          <w:rFonts w:ascii="Trebuchet MS" w:hAnsi="Trebuchet MS"/>
          <w:b/>
          <w:bCs/>
          <w:lang w:val="ro-RO"/>
        </w:rPr>
      </w:pPr>
      <w:r w:rsidRPr="00EE57A6">
        <w:rPr>
          <w:rFonts w:ascii="Trebuchet MS" w:hAnsi="Trebuchet MS"/>
          <w:b/>
          <w:noProof/>
        </w:rPr>
        <w:pict>
          <v:shape id="Picture 9" o:spid="_x0000_i1034" type="#_x0000_t75" style="width:409.8pt;height:273pt;visibility:visible">
            <v:imagedata r:id="rId14" o:title=""/>
          </v:shape>
        </w:pict>
      </w:r>
    </w:p>
    <w:p w:rsidR="00FE69FE" w:rsidRPr="00EE57A6" w:rsidRDefault="00FE69FE" w:rsidP="00EE57A6">
      <w:pPr>
        <w:spacing w:after="0" w:line="360" w:lineRule="auto"/>
        <w:jc w:val="both"/>
        <w:rPr>
          <w:rFonts w:ascii="Trebuchet MS" w:hAnsi="Trebuchet MS"/>
          <w:lang w:val="ro-RO"/>
        </w:rPr>
      </w:pP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Figura 8, doar răspunsurile valide sunt luate în considerare (i.e., cei care nu știu sau nu răspund sunt excluși din analiză). Așa cum se poate observa, peste 99% dintre respondenți sunt racordați la energia electrică, ceea ce surprinde atât realitatea obiectivă (într-adevăr, cu excepția unor zone izolate, electrificarea nu este o problemă în România), cât și faptul că ar fi fost foarte greu să avem într-un sondaj telefonic respondenți care nu sunt conectați la rețeaua electrică și nu au telefon mobil sau fix. De asemenea, nouă din zece români sunt mulțumiți de furnizarea energiei electrice, iar 87% de intervențiile companiilor furnizoare de electricitate în rezolvarea unor probleme de alimentare semnalate de consumatori. 74% dintre respondenți sunt mulțumiți de costul facturii la energia electrică, în ciuda unei creșteri medii anuale de aproape 8% pentru fiecare din ultimii 21 ani. Evident, acest răspuns poate fi influențat de bias-ul de dezirabilitate/conformare socială (i.e., răspundem ce se așteaptă de la noi) și vom ști mai multe despre cum se raportează românii la prețul energiei electrice pe măsură ce liberalizarea din acest an își va  produce cu totul efectele. Oricum ar fi, faptul că trei din patru români sunt mulțumiți de cât plătesc pentru energia electrică este un lucru de remarcat.</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continuare, pe baza aceluiași sondaj de opinie, ne vom referi la evaluările românilor privind furnizare de gaze naturale prin rețeaua publică. Rezultatele pot fi observate în Figura 9. Încă o dată, ne bazăm doar pe răspunsurile valide.</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9</w:t>
      </w:r>
      <w:r w:rsidRPr="00EE57A6">
        <w:rPr>
          <w:rFonts w:ascii="Trebuchet MS" w:hAnsi="Trebuchet MS"/>
          <w:lang w:val="ro-RO"/>
        </w:rPr>
        <w:t xml:space="preserve"> - </w:t>
      </w:r>
      <w:r w:rsidRPr="00EE57A6">
        <w:rPr>
          <w:rFonts w:ascii="Trebuchet MS" w:hAnsi="Trebuchet MS"/>
          <w:b/>
          <w:bCs/>
          <w:lang w:val="ro-RO"/>
        </w:rPr>
        <w:t>Evaluări privind utilizarea rețelei publice de gaze naturale (sondaj de opinie RD12)</w:t>
      </w:r>
    </w:p>
    <w:p w:rsidR="00FE69FE" w:rsidRPr="00EE57A6" w:rsidRDefault="00FE69FE" w:rsidP="00EE57A6">
      <w:pPr>
        <w:spacing w:after="0" w:line="360" w:lineRule="auto"/>
        <w:jc w:val="both"/>
        <w:rPr>
          <w:rFonts w:ascii="Trebuchet MS" w:hAnsi="Trebuchet MS"/>
          <w:lang w:val="ro-RO"/>
        </w:rPr>
      </w:pPr>
      <w:r w:rsidRPr="00EE57A6">
        <w:rPr>
          <w:rFonts w:ascii="Trebuchet MS" w:hAnsi="Trebuchet MS"/>
          <w:noProof/>
        </w:rPr>
        <w:pict>
          <v:shape id="Picture 10" o:spid="_x0000_i1035" type="#_x0000_t75" style="width:463.8pt;height:309pt;visibility:visible">
            <v:imagedata r:id="rId15" o:title=""/>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primul rând, observăm că 50% dintre respondenți raportează că sunt racordați la rețeaua publică de gaze naturale. Această evaluare subiectivă reprezintă o supraevaluare, dacă luăm în considerare faptul că, pe baza datelor INS și ANRE, am calculat că aproximativ 43% dintre gospodării au acces la rețeaua publică de gaze naturale. Înainte de a comenta restul rezultatelor din Figura 9, trebuie spus că analizăm doar evaluările celor care sunt conectați la rețeaua de gaze, ceea ce înseamnă că acei 50% care au spus că nu sunt conectați sunt excluși din analiză (alături de cei care nu știu și nu răspund). În continuare, pe baza răspunsurilor valide, decelăm un grad semnificativ de satisfacție față de serviciile de furnizare a gazelor naturale: 98% dintre cei care sunt racordați la sistem și au un răspuns sunt mulțumiți de furnizarea gazelor naturale. De asemenea, 94% sunt mulțumiți de intervențiile de remediere a unor probleme pe care în prealabil le-au semnalat furnizorilor. În plus, 91% sunt mulțumiți de presiune gazelor naturale. În ceea ce privește costul facturii la gaze naturale, 81% sunt mulțumiți de acesta, în condițiile unei piețe liberalizate de la 1 iulie 2020 și a unei creșteri medii per an a prețurilor de 14,7% pentru ultimii 21 ani. Chiar dacă, până la urmă, costurile la energie afectează peste media creșterii tuturor prețurilor veniturile românilor și puterea acestora de cumpărare, nu pare a exista o nemulțumire socială largă privind factura la utilități precum gazele naturale. Dimpotrivă, dacă este să privim la rezultatele acestui sondaj.</w:t>
      </w:r>
    </w:p>
    <w:p w:rsidR="00FE69FE" w:rsidRPr="00EE57A6" w:rsidRDefault="00FE69FE" w:rsidP="00EE57A6">
      <w:pPr>
        <w:spacing w:after="0" w:line="360" w:lineRule="auto"/>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10</w:t>
      </w:r>
      <w:r w:rsidRPr="00EE57A6">
        <w:rPr>
          <w:rFonts w:ascii="Trebuchet MS" w:hAnsi="Trebuchet MS"/>
          <w:lang w:val="ro-RO"/>
        </w:rPr>
        <w:t xml:space="preserve"> - </w:t>
      </w:r>
      <w:r w:rsidRPr="00EE57A6">
        <w:rPr>
          <w:rFonts w:ascii="Trebuchet MS" w:hAnsi="Trebuchet MS"/>
          <w:b/>
          <w:bCs/>
          <w:lang w:val="ro-RO"/>
        </w:rPr>
        <w:t>Evaluări privind utilizarea sistemului public centralizat de energie termică (sondaj de opinie RD12)</w:t>
      </w:r>
    </w:p>
    <w:p w:rsidR="00FE69FE" w:rsidRPr="00EE57A6" w:rsidRDefault="00FE69FE" w:rsidP="00EE57A6">
      <w:pPr>
        <w:spacing w:after="0" w:line="360" w:lineRule="auto"/>
        <w:jc w:val="center"/>
        <w:rPr>
          <w:rFonts w:ascii="Trebuchet MS" w:hAnsi="Trebuchet MS"/>
          <w:b/>
          <w:bCs/>
          <w:lang w:val="ro-RO"/>
        </w:rPr>
      </w:pPr>
      <w:r w:rsidRPr="00EE57A6">
        <w:rPr>
          <w:rFonts w:ascii="Trebuchet MS" w:hAnsi="Trebuchet MS"/>
          <w:b/>
          <w:noProof/>
        </w:rPr>
        <w:pict>
          <v:shape id="Picture 11" o:spid="_x0000_i1036" type="#_x0000_t75" style="width:302.4pt;height:201.6pt;visibility:visible">
            <v:imagedata r:id="rId16" o:title=""/>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După energia electrică și gazele naturale, vom investiga atitudinile și evaluările românilor față de energia termică. Rezultatele descriptive sunt prezentate în Figura 10, cu mențiunea că, încă o dată, ne bazăm doar pe răspunsurile valide.</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Observăm că, potrivit sondajului, doar 10% dintre respondenți spun că sunt racordați la sistemul centralizat de furnizare a energiei termice. Numărul este unul apropiat de ce am obținut pe baza datelor INS și ANRE, pe baza cărora am determinat că 12,5% dintre locuințele din România sunt racordate la SACET. Următoarele evaluări îi iau în calcul doar pe cei racordați la SACET, adică aproximativ 10% din eșantionul nostru. Dintre aceștia, 75% sunt mulțumiți de intervențiile furnizorilor urmare a defecțiunilor semnalate, iar 74% sunt de asemenea mulțumiți de continuitatea în furnizarea agentului termic. În privința costului la factură, 59% sunt mulțumiți de acesta. Deși, așa cum am observat, în medie costul la energie termică a crescut cel mai puțin în ultimii 21 ani comparativ cu energia electrică și gazele naturale, românii sunt cel mai puțin mulțumiți de costul energiei termice. Totuși, încă o dată, acest număr este, neașteptat poate pentru unii, peste 50%.</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11 – Cum ce încălzesc românii?</w:t>
      </w:r>
      <w:r w:rsidRPr="00EE57A6">
        <w:rPr>
          <w:rFonts w:ascii="Trebuchet MS" w:hAnsi="Trebuchet MS"/>
          <w:lang w:val="ro-RO"/>
        </w:rPr>
        <w:t xml:space="preserve"> </w:t>
      </w:r>
      <w:r w:rsidRPr="00EE57A6">
        <w:rPr>
          <w:rFonts w:ascii="Trebuchet MS" w:hAnsi="Trebuchet MS"/>
          <w:b/>
          <w:bCs/>
          <w:lang w:val="ro-RO"/>
        </w:rPr>
        <w:t>(sondaj de opinie RD12)</w:t>
      </w:r>
    </w:p>
    <w:p w:rsidR="00FE69FE" w:rsidRPr="00EE57A6" w:rsidRDefault="00FE69FE" w:rsidP="00EE57A6">
      <w:pPr>
        <w:spacing w:after="0" w:line="360" w:lineRule="auto"/>
        <w:jc w:val="center"/>
        <w:rPr>
          <w:rFonts w:ascii="Trebuchet MS" w:hAnsi="Trebuchet MS"/>
          <w:lang w:val="ro-RO"/>
        </w:rPr>
      </w:pPr>
      <w:r w:rsidRPr="00EE57A6">
        <w:rPr>
          <w:rFonts w:ascii="Trebuchet MS" w:hAnsi="Trebuchet MS"/>
          <w:noProof/>
        </w:rPr>
        <w:pict>
          <v:shape id="Picture 12" o:spid="_x0000_i1037" type="#_x0000_t75" style="width:388.2pt;height:291pt;visibility:visible">
            <v:imagedata r:id="rId17" o:title=""/>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Dacă doar 10% dintre respondenți primesc încălzire prin sistemul centralizat, atunci cum se încălzesc restul românilor? Răspunsul poate fi găsit în Figura 11 (proporțiile sunt calculate pe baza procentelor valide). De această dată, doar 7% raportează racordarea la SACET, în timp ce 56% spun că au centrală proprie sau de bloc, iar 37% se încălzesc cu sobă cu lemne sau cu gaze. În fapt, încălzirea cu sobă cu lemne (36,5% din eșantion) vine pe locul al doilea ca sistem de încălzire folosit de români după centrala proprie (38,8% din răspunsuri). Deja apare, destul de evident, unde este una dintre sursele reducerii poluării – în găsirea de alternative la încălzirea cu sobă cu lemne, alternative care să fie nu doar mai puțin poluante, dar și care să permită reducerea sărăciei energetice (reducerea proporției celor care nu-și permit o încălzire adecvată a locuinței).</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final, ne-am concentrat pe câteva chestiuni care privesc comportamentul de consum al energiei (dotări și comportament care să vizeze reducerea consumului), precum și costul total al energiei pentru respondenți. Rezultatele, bazate pe răspunsurile valide, sunt prezentate în Figura 12.</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Românii sunt în general deschiși către asumarea unui comportament ecologic de consum al energiei, așa cum se poate vedea în Figura 12. 84% raportează utilizarea unor electrocasnice eficiente energetic, 82% spun că folosesc becuri economice din punct de vedere energetic, iar 55% deconectează aparatele electrocasnice atunci când nu le folosesc. Prin prisma dotărilor locuințelor, 64% dintre români spun că au locuința termoizolată, 27% spun că aceasta este certificată energetic, iar doar 21% folosesc aerul condiționat. 11% dintre respondenți raportează și alte acțiuni de reducere a consumului, în timp ce doar 7% spun că nu iau nicio acțiune de reducere a acestuia. Aceste rezultate dau un semnal încurajator pentru viitor, în sensul că o parte importantă a populației conștientizează beneficiile economice și ecologice ale unor soluții la îndemâna tuturor în viața de zi cu zi, care sunt de asemenea eficiente energetic. Aceste realități ar trebui văzute ca puncte de plecare în convingerea a cât mai multor români să adopte comportamente prietenoase cu mediul, prin acțiuni simple de reducere a consumului de energie, mai ales că aceste comportamente înseamnă și economii financiare.</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Întrebați cum consideră cheltuielile lunare totale pe care le au cu energia, 71% dintre cei care furnizează un răspuns apreciază că acestea reprezintă o parte foarte mare sau destul de mare din bugetul lunar al gospodăriei. Potrivit INS (indicator BUF106I), cheltuielile totale medii lunare pe o gospodărie erau de  4091,83 lei în 2019, ultimul an pentru care avem date complete. Dintre aceste, pentru același an, potrivit aceluiași INS (indicator BUF115I), cheltuielile medii lunare pe o gospodărie pentru următoarele categorii de servicii erau următoarele: energie electrică – 108,64 lei; energie termică – 12,32 lei; gaze naturale – 72,33 lei. În total, cheltuielile medii lunare pe o gospodărie cu energia erau în 2019 de 193,29 lei. Făcând calculul, vedem că, în medie, aceste cheltuieli prezintă 4,7% din cheltuielile totale medii lunare pe o gospodărie. Chiar dacă aici ne raportăm, sub aspect obiectiv, la cheltuieli medii, nu putem să nu observăm disproporția dintre cei care spun că, în fiecare lună, cheltuiesc o parte importantă a bugetului gospodăriei cu energia și ponderea relativ medie ca importanță a acestor cheltuieli în totalul cheltuielilor lunare. Un alt aspect care rămâne de explorat în viitor ține de felul în care românii sunt majoritar mulțumiți de cât plătesc pentru energie electrică și pentru gazele naturale, dar în același timp afirmă că ele sunt o parte semnificativă a bugetului lunar al gospodăriei. Evident, aici nu este o contradicție evidentă, dar nici nu este ușor să găsești o explicație pentru aceste două stări de fapt validate prin sondajul de opinie.</w:t>
      </w:r>
    </w:p>
    <w:p w:rsidR="00FE69FE" w:rsidRPr="00EE57A6" w:rsidRDefault="00FE69FE" w:rsidP="00EE57A6">
      <w:pPr>
        <w:spacing w:after="0" w:line="360" w:lineRule="auto"/>
        <w:jc w:val="both"/>
        <w:rPr>
          <w:rFonts w:ascii="Trebuchet MS" w:hAnsi="Trebuchet MS"/>
          <w:b/>
          <w:bC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Figura 12 – Evaluări privind comportamentul de consum al energiei, dotări și costuri (sondaj de opinie RD12)</w:t>
      </w:r>
    </w:p>
    <w:p w:rsidR="00FE69FE" w:rsidRPr="00EE57A6" w:rsidRDefault="00FE69FE" w:rsidP="00EE57A6">
      <w:pPr>
        <w:spacing w:after="0" w:line="360" w:lineRule="auto"/>
        <w:jc w:val="center"/>
        <w:rPr>
          <w:rFonts w:ascii="Trebuchet MS" w:hAnsi="Trebuchet MS"/>
          <w:b/>
          <w:bCs/>
          <w:lang w:val="ro-RO"/>
        </w:rPr>
      </w:pPr>
      <w:r w:rsidRPr="00EE57A6">
        <w:rPr>
          <w:rFonts w:ascii="Trebuchet MS" w:hAnsi="Trebuchet MS"/>
          <w:b/>
          <w:noProof/>
        </w:rPr>
        <w:pict>
          <v:shape id="Picture 13" o:spid="_x0000_i1038" type="#_x0000_t75" style="width:388.2pt;height:259.2pt;visibility:visible">
            <v:imagedata r:id="rId18" o:title=""/>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ultima parte a analizei, vom trece de la prezentarea descriptivă a rezultatelor sondajului și compararea lor cu datele obiective corespunzătoare la o simplă modelare statistică (prin intermediul regresiilor liniare), pentru a putea concluziona dacă evaluările privind consumul de energie sunt influențate de anumiți factori socio-demografici. Rezultatele trebuie interpretate drept corelații, pentru stabilirea unor relații de cauzalitate fiind necesare alte configurări metodologice.</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Pr>
          <w:rFonts w:ascii="Trebuchet MS" w:hAnsi="Trebuchet MS"/>
          <w:b/>
          <w:bCs/>
          <w:lang w:val="ro-RO"/>
        </w:rPr>
        <w:br w:type="page"/>
      </w:r>
      <w:r w:rsidRPr="00EE57A6">
        <w:rPr>
          <w:rFonts w:ascii="Trebuchet MS" w:hAnsi="Trebuchet MS"/>
          <w:b/>
          <w:bCs/>
          <w:lang w:val="ro-RO"/>
        </w:rPr>
        <w:t>Tabel 1 – Modelare statistică – Evaluări privind utilizarea energiei electrice (sondaj de opinie RD12)</w:t>
      </w:r>
    </w:p>
    <w:p w:rsidR="00FE69FE" w:rsidRPr="00EE57A6" w:rsidRDefault="00FE69FE" w:rsidP="00EE57A6">
      <w:pPr>
        <w:spacing w:after="0" w:line="360" w:lineRule="auto"/>
        <w:jc w:val="center"/>
        <w:rPr>
          <w:rFonts w:ascii="Trebuchet MS" w:hAnsi="Trebuchet MS"/>
          <w:lang w:val="ro-RO"/>
        </w:rPr>
      </w:pPr>
      <w:r w:rsidRPr="00EE57A6">
        <w:rPr>
          <w:rFonts w:ascii="Trebuchet MS" w:hAnsi="Trebuchet MS"/>
          <w:noProof/>
        </w:rPr>
        <w:pict>
          <v:shape id="Picture 14" o:spid="_x0000_i1039" type="#_x0000_t75" style="width:374.4pt;height:421.2pt;visibility:visible">
            <v:imagedata r:id="rId19" o:title="" croptop="9451f" cropbottom="9579f" cropleft="6310f" cropright="6332f"/>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 xml:space="preserve">Tabelul 1 analizează evaluările legate de energia electrică. În ceea ce privește racordarea la energia electrică, având în vedere că 99% raportează acces (ceea ce înseamnă că practic nu avem variație de explicat pentru variabila dependentă), observăm că niciun factor socio-demografic din </w:t>
      </w:r>
      <w:r w:rsidRPr="00EE57A6">
        <w:rPr>
          <w:rFonts w:ascii="Trebuchet MS" w:hAnsi="Trebuchet MS"/>
          <w:i/>
          <w:iCs/>
          <w:lang w:val="ro-RO"/>
        </w:rPr>
        <w:t>modelul 1</w:t>
      </w:r>
      <w:r w:rsidRPr="00EE57A6">
        <w:rPr>
          <w:rFonts w:ascii="Trebuchet MS" w:hAnsi="Trebuchet MS"/>
          <w:lang w:val="ro-RO"/>
        </w:rPr>
        <w:t xml:space="preserve"> nu iese în evidență. În </w:t>
      </w:r>
      <w:r w:rsidRPr="00EE57A6">
        <w:rPr>
          <w:rFonts w:ascii="Trebuchet MS" w:hAnsi="Trebuchet MS"/>
          <w:i/>
          <w:iCs/>
          <w:lang w:val="ro-RO"/>
        </w:rPr>
        <w:t>modelul 2</w:t>
      </w:r>
      <w:r w:rsidRPr="00EE57A6">
        <w:rPr>
          <w:rFonts w:ascii="Trebuchet MS" w:hAnsi="Trebuchet MS"/>
          <w:lang w:val="ro-RO"/>
        </w:rPr>
        <w:t xml:space="preserve">, în care căutăm să vedem ce explică faptul că un respondent se declară mulțumit de furnizarea energiei electrice prin sistemul public, observăm următoarele: mulțumirea crește cu avansarea în vârstă; cei cu educație primară sunt cu 11% mai puțin probabil să fie mulțumiți decât acei cu educație medie; studenții (+25%) și casnicii/casnicele (17%) sunt mai mulțumiți decât cei cu altă ocupație; cei din Sud-Vest sunt cu 22% mai nemulțumiți de furnizarea energiei electrice decât cei din București-Ilfov, un indiciu că sunt probleme cu furnizarea electricității în Oltenia; cei din urbanul foarte mare sunt cu 18% mai mulțumiți de furnizare decât cei din București. În </w:t>
      </w:r>
      <w:r w:rsidRPr="00EE57A6">
        <w:rPr>
          <w:rFonts w:ascii="Trebuchet MS" w:hAnsi="Trebuchet MS"/>
          <w:i/>
          <w:iCs/>
          <w:lang w:val="ro-RO"/>
        </w:rPr>
        <w:t>modelul 3</w:t>
      </w:r>
      <w:r w:rsidRPr="00EE57A6">
        <w:rPr>
          <w:rFonts w:ascii="Trebuchet MS" w:hAnsi="Trebuchet MS"/>
          <w:lang w:val="ro-RO"/>
        </w:rPr>
        <w:t xml:space="preserve">, vrem să înțelegem ce determină o persoană să fie mulțumită de costul facturii la energia electrică: cei mai în vârstă sunt mai nemulțumiți de prețul energiei electrice; la fel cei cu educație primară (-13%); cu excepția celor din regiunea Centru, locuitorii celorlalte regiuni sunt mai nemulțumiți decât cei din București – Ilfov; cei din urbanul foarte mare (32%), mare (28%) și mic și foarte mic (29%) sunt mai mulțumiți decât cei din București. În </w:t>
      </w:r>
      <w:r w:rsidRPr="00EE57A6">
        <w:rPr>
          <w:rFonts w:ascii="Trebuchet MS" w:hAnsi="Trebuchet MS"/>
          <w:i/>
          <w:iCs/>
          <w:lang w:val="ro-RO"/>
        </w:rPr>
        <w:t>modelul 4</w:t>
      </w:r>
      <w:r w:rsidRPr="00EE57A6">
        <w:rPr>
          <w:rFonts w:ascii="Trebuchet MS" w:hAnsi="Trebuchet MS"/>
          <w:lang w:val="ro-RO"/>
        </w:rPr>
        <w:t xml:space="preserve">, analizăm mulțumirea față de intervențiile de remediere a problemelor din rețea: cei cu educație primară sunt cu 9% mai puțin mulțumiți; cei din Sud-Vest sunt cu 30% mai puțin mulțumiți, la fel și cei din regiunea Vest (-21%); cei din urbanul foarte mare (27%), mare (23%) și cei din urbanul mic și foarte mic (24%) sunt mai mulțumiți de intervenții decât cei din București. Avem aici indicații, în special legat de regiuni și tipul localităților, dar și de tipul de educație, despre cum percep românii furnizarea energiei electrice. </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 xml:space="preserve">În Tabelul 2, urmăm aceeași strategie, doar că ne concentrăm asupra evaluărilor despre gazele naturale. În </w:t>
      </w:r>
      <w:r w:rsidRPr="00EE57A6">
        <w:rPr>
          <w:rFonts w:ascii="Trebuchet MS" w:hAnsi="Trebuchet MS"/>
          <w:i/>
          <w:iCs/>
          <w:lang w:val="ro-RO"/>
        </w:rPr>
        <w:t>modelul 1</w:t>
      </w:r>
      <w:r w:rsidRPr="00EE57A6">
        <w:rPr>
          <w:rFonts w:ascii="Trebuchet MS" w:hAnsi="Trebuchet MS"/>
          <w:lang w:val="ro-RO"/>
        </w:rPr>
        <w:t xml:space="preserve">, cel care investighează ce anume determină racordarea la rețeaua de gaze naturale, constatăm următoarele: femeile sunt cu 5% mai probabil să fie racordate la sistem, la fel și cei cu educație superioară (+15%); în schimb, cei cu educație primară au o probabilitate mai mică cu 12% să fie conectați la rețeaua de gaze naturale; comparativ cu cei din București-Ilfov, cei din restul regiunilor de dezvoltare ale țării au probabilități mai mici de a fi racordați (între -50% în regiunea Centru și -89%, în Sud-Vest). Atunci când căutăm să explicăm ce îi determină pe românii conectați la sistemul public de gaze naturale să fie mulțumiți de furnizarea acestora – </w:t>
      </w:r>
      <w:r w:rsidRPr="00EE57A6">
        <w:rPr>
          <w:rFonts w:ascii="Trebuchet MS" w:hAnsi="Trebuchet MS"/>
          <w:i/>
          <w:iCs/>
          <w:lang w:val="ro-RO"/>
        </w:rPr>
        <w:t>modelul 2</w:t>
      </w:r>
      <w:r w:rsidRPr="00EE57A6">
        <w:rPr>
          <w:rFonts w:ascii="Trebuchet MS" w:hAnsi="Trebuchet MS"/>
          <w:lang w:val="ro-RO"/>
        </w:rPr>
        <w:t xml:space="preserve">, nu găsim factori socio-demografici relevanți (de altfel, puterea explicativă a modelului este foarte scăzută). În </w:t>
      </w:r>
      <w:r w:rsidRPr="00EE57A6">
        <w:rPr>
          <w:rFonts w:ascii="Trebuchet MS" w:hAnsi="Trebuchet MS"/>
          <w:i/>
          <w:iCs/>
          <w:lang w:val="ro-RO"/>
        </w:rPr>
        <w:t>modelul 3</w:t>
      </w:r>
      <w:r w:rsidRPr="00EE57A6">
        <w:rPr>
          <w:rFonts w:ascii="Trebuchet MS" w:hAnsi="Trebuchet MS"/>
          <w:lang w:val="ro-RO"/>
        </w:rPr>
        <w:t xml:space="preserve">, cel care se uită la determinanții faptului de a fi mulțumit de costul facturii la gazele naturale,  ce atrage atenția este nemulțumirea celor din regiunea de Nord-Est, care sunt cu 26% mai puțin mulțumiți de cât plătesc prin comparație cu cei din București – Ilfov. Lipsa puterii explicative a factorilor socio-demografici se observă și când variabila dependentă (de explicat) este mulțumirea față de intervențiile furnizorilor la  rețeaua publică de gaze naturale – </w:t>
      </w:r>
      <w:r w:rsidRPr="00EE57A6">
        <w:rPr>
          <w:rFonts w:ascii="Trebuchet MS" w:hAnsi="Trebuchet MS"/>
          <w:i/>
          <w:iCs/>
          <w:lang w:val="ro-RO"/>
        </w:rPr>
        <w:t>modelul 4</w:t>
      </w:r>
      <w:r w:rsidRPr="00EE57A6">
        <w:rPr>
          <w:rFonts w:ascii="Trebuchet MS" w:hAnsi="Trebuchet MS"/>
          <w:lang w:val="ro-RO"/>
        </w:rPr>
        <w:t xml:space="preserve">. Cei cu educație superioară (-9%) sunt mai nemulțumiți de presiunea gazelor din sistemul public – </w:t>
      </w:r>
      <w:r w:rsidRPr="00EE57A6">
        <w:rPr>
          <w:rFonts w:ascii="Trebuchet MS" w:hAnsi="Trebuchet MS"/>
          <w:i/>
          <w:iCs/>
          <w:lang w:val="ro-RO"/>
        </w:rPr>
        <w:t>modelul 5</w:t>
      </w:r>
      <w:r w:rsidRPr="00EE57A6">
        <w:rPr>
          <w:rFonts w:ascii="Trebuchet MS" w:hAnsi="Trebuchet MS"/>
          <w:lang w:val="ro-RO"/>
        </w:rPr>
        <w:t>. În acest modele, cu excepția celui care se referă la determinanții racordării la rețeaua de gaze naturale, concluzionăm capacitatea explicativă redusă a factorilor socio-demografici, o indicație că, pentru a avea cauzele acestor evaluări, alte variabile ar trebuie luate în considerare.</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Tabel 2 – Modelare statistică – Evaluări privind utilizarea rețelei publice de gaze naturale (sondaj de opinie RD12)</w:t>
      </w:r>
    </w:p>
    <w:p w:rsidR="00FE69FE" w:rsidRPr="00EE57A6" w:rsidRDefault="00FE69FE" w:rsidP="00EE57A6">
      <w:pPr>
        <w:spacing w:after="0" w:line="360" w:lineRule="auto"/>
        <w:jc w:val="center"/>
        <w:rPr>
          <w:rFonts w:ascii="Trebuchet MS" w:hAnsi="Trebuchet MS"/>
          <w:lang w:val="ro-RO"/>
        </w:rPr>
      </w:pPr>
      <w:r w:rsidRPr="00EE57A6">
        <w:rPr>
          <w:rFonts w:ascii="Trebuchet MS" w:hAnsi="Trebuchet MS"/>
          <w:noProof/>
        </w:rPr>
        <w:pict>
          <v:shape id="Picture 15" o:spid="_x0000_i1040" type="#_x0000_t75" style="width:318pt;height:325.2pt;visibility:visible">
            <v:imagedata r:id="rId20" o:title="" croptop="11559f" cropbottom="11248f" cropleft="6047f" cropright="6198f"/>
          </v:shape>
        </w:pict>
      </w:r>
    </w:p>
    <w:p w:rsidR="00FE69FE" w:rsidRPr="00EE57A6" w:rsidRDefault="00FE69FE" w:rsidP="00EE57A6">
      <w:pPr>
        <w:spacing w:after="0" w:line="360" w:lineRule="auto"/>
        <w:ind w:firstLine="567"/>
        <w:jc w:val="center"/>
        <w:rPr>
          <w:rFonts w:ascii="Trebuchet MS" w:hAnsi="Trebuchet MS"/>
          <w:b/>
          <w:bCs/>
          <w:lang w:val="ro-RO"/>
        </w:rPr>
      </w:pPr>
      <w:r>
        <w:rPr>
          <w:rFonts w:ascii="Trebuchet MS" w:hAnsi="Trebuchet MS"/>
          <w:b/>
          <w:bCs/>
          <w:lang w:val="ro-RO"/>
        </w:rPr>
        <w:br w:type="page"/>
      </w:r>
      <w:r w:rsidRPr="00EE57A6">
        <w:rPr>
          <w:rFonts w:ascii="Trebuchet MS" w:hAnsi="Trebuchet MS"/>
          <w:b/>
          <w:bCs/>
          <w:lang w:val="ro-RO"/>
        </w:rPr>
        <w:t>Tabel 3 – Modelare statistică – Evaluări privind utilizarea sistemului public centralizat de energie termică (sondaj de opinie RD12)</w:t>
      </w:r>
    </w:p>
    <w:p w:rsidR="00FE69FE" w:rsidRPr="00EE57A6" w:rsidRDefault="00FE69FE" w:rsidP="00EE57A6">
      <w:pPr>
        <w:spacing w:after="0" w:line="360" w:lineRule="auto"/>
        <w:jc w:val="center"/>
        <w:rPr>
          <w:rFonts w:ascii="Trebuchet MS" w:hAnsi="Trebuchet MS"/>
          <w:lang w:val="ro-RO"/>
        </w:rPr>
      </w:pPr>
      <w:r w:rsidRPr="00EE57A6">
        <w:rPr>
          <w:rFonts w:ascii="Trebuchet MS" w:hAnsi="Trebuchet MS"/>
          <w:noProof/>
        </w:rPr>
        <w:pict>
          <v:shape id="Picture 16" o:spid="_x0000_i1041" type="#_x0000_t75" style="width:373.8pt;height:451.8pt;visibility:visible">
            <v:imagedata r:id="rId21" o:title="" croptop="7944f" cropbottom="7732f" cropleft="6310f" cropright="6460f"/>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 xml:space="preserve">În Tabelul 3 ne concentrăm doar pe explicarea racordării la sistemul de alimentare centralizată cu energie termică – </w:t>
      </w:r>
      <w:r w:rsidRPr="00EE57A6">
        <w:rPr>
          <w:rFonts w:ascii="Trebuchet MS" w:hAnsi="Trebuchet MS"/>
          <w:i/>
          <w:iCs/>
          <w:lang w:val="ro-RO"/>
        </w:rPr>
        <w:t>model 1</w:t>
      </w:r>
      <w:r w:rsidRPr="00EE57A6">
        <w:rPr>
          <w:rFonts w:ascii="Trebuchet MS" w:hAnsi="Trebuchet MS"/>
          <w:lang w:val="ro-RO"/>
        </w:rPr>
        <w:t>. Aici observăm două chestiuni: 1) femeile sunt cu 5% mai probabile să fie conectate la SACET; 2) comparativ cu cei din București, cei din alte tipuri de localități sunt mult mai puțin probabil să fie conectați la SACET, probabilitățile pendulând în intervalul -41% (în urbanul foarte mare) la -64% în ruralul mic. Această modelare empirică bazată pe răspunsurile respondenților corespunde cu datele obiective prezentate în Figura 4.</w:t>
      </w:r>
    </w:p>
    <w:p w:rsidR="00FE69FE" w:rsidRPr="00EE57A6" w:rsidRDefault="00FE69FE" w:rsidP="00EE57A6">
      <w:pPr>
        <w:spacing w:after="0" w:line="360" w:lineRule="auto"/>
        <w:ind w:firstLine="567"/>
        <w:jc w:val="center"/>
        <w:rPr>
          <w:rFonts w:ascii="Trebuchet MS" w:hAnsi="Trebuchet MS"/>
          <w:b/>
          <w:bCs/>
          <w:lang w:val="ro-RO"/>
        </w:rPr>
      </w:pPr>
      <w:r w:rsidRPr="00EE57A6">
        <w:rPr>
          <w:rFonts w:ascii="Trebuchet MS" w:hAnsi="Trebuchet MS"/>
          <w:b/>
          <w:bCs/>
          <w:lang w:val="ro-RO"/>
        </w:rPr>
        <w:t>Tabel 4 – Modelare statistică – Evaluări privind comportamentul de consum al energiei, dotări și costuri (sondaj de opinie RD12)</w:t>
      </w:r>
    </w:p>
    <w:p w:rsidR="00FE69FE" w:rsidRPr="00EE57A6" w:rsidRDefault="00FE69FE" w:rsidP="00EE57A6">
      <w:pPr>
        <w:spacing w:after="0" w:line="360" w:lineRule="auto"/>
        <w:jc w:val="center"/>
        <w:rPr>
          <w:rFonts w:ascii="Trebuchet MS" w:hAnsi="Trebuchet MS"/>
          <w:b/>
          <w:bCs/>
          <w:lang w:val="ro-RO"/>
        </w:rPr>
      </w:pPr>
      <w:r w:rsidRPr="00EE57A6">
        <w:rPr>
          <w:rFonts w:ascii="Trebuchet MS" w:hAnsi="Trebuchet MS"/>
          <w:b/>
          <w:noProof/>
        </w:rPr>
        <w:pict>
          <v:shape id="Picture 17" o:spid="_x0000_i1042" type="#_x0000_t75" style="width:374.4pt;height:300.6pt;visibility:visible">
            <v:imagedata r:id="rId22" o:title="" croptop="16136f" cropbottom="16222f" cropleft="6375f" cropright="6262f"/>
          </v:shape>
        </w:pic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 xml:space="preserve">Încheiem cu evaluările legate de dotări, comportamente și costuri privind consumul de energie. Aici, încă o dată, ne vom axa pe cele mai relevante rezultate. În </w:t>
      </w:r>
      <w:r w:rsidRPr="00EE57A6">
        <w:rPr>
          <w:rFonts w:ascii="Trebuchet MS" w:hAnsi="Trebuchet MS"/>
          <w:i/>
          <w:iCs/>
          <w:lang w:val="ro-RO"/>
        </w:rPr>
        <w:t>modelul 1</w:t>
      </w:r>
      <w:r w:rsidRPr="00EE57A6">
        <w:rPr>
          <w:rFonts w:ascii="Trebuchet MS" w:hAnsi="Trebuchet MS"/>
          <w:lang w:val="ro-RO"/>
        </w:rPr>
        <w:t xml:space="preserve">, vedem variații în ceea ce privește faptul de a avea o locuință termoizolată: femeile sunt cu 9% mai puțin probabil să aibă o locuință termoizolată, la fel și cei cu educație primară (-15%); comparativ cu cei din București-Ilfov, cei din restul regiunilor de dezvoltare au o probabilitate mai mică de a avea locuința termoizolată (între 25 și 27%). În </w:t>
      </w:r>
      <w:r w:rsidRPr="00EE57A6">
        <w:rPr>
          <w:rFonts w:ascii="Trebuchet MS" w:hAnsi="Trebuchet MS"/>
          <w:i/>
          <w:iCs/>
          <w:lang w:val="ro-RO"/>
        </w:rPr>
        <w:t>modelul 2</w:t>
      </w:r>
      <w:r w:rsidRPr="00EE57A6">
        <w:rPr>
          <w:rFonts w:ascii="Trebuchet MS" w:hAnsi="Trebuchet MS"/>
          <w:lang w:val="ro-RO"/>
        </w:rPr>
        <w:t xml:space="preserve">, ținta de explicat este faptul de a avea o locuință certificată energetic, iar rezultatele ne arată că acei mai în vârstă sunt mai puțin probabil să aibă așa ceva, precum și cei din restul regiunilor de dezvoltare comparativ cu Bucureștiul (între 35 și 49%); cei cu studii superioare, probabil datorită statutului economic superior, au o probabilitate mai mare (+20%) să aibă locuința certificată energetic. Cât despre faptul de a avea locuința dotată cu aer condiționat – </w:t>
      </w:r>
      <w:r w:rsidRPr="00EE57A6">
        <w:rPr>
          <w:rFonts w:ascii="Trebuchet MS" w:hAnsi="Trebuchet MS"/>
          <w:i/>
          <w:iCs/>
          <w:lang w:val="ro-RO"/>
        </w:rPr>
        <w:t>modelul 3</w:t>
      </w:r>
      <w:r w:rsidRPr="00EE57A6">
        <w:rPr>
          <w:rFonts w:ascii="Trebuchet MS" w:hAnsi="Trebuchet MS"/>
          <w:lang w:val="ro-RO"/>
        </w:rPr>
        <w:t>, observăm aceleași diferențe ca în modelul 2: cei cu studii superioare au o probabilitate mai mare de a avea asemenea instalații (+20%), iar cei din restul regiunilor de dezvoltare, cu un PIB per capita mai scăzut decât cel al Bucureștiului, au considerabil mai mici probabilități să aibă astfel de instalații, valorile fiind între 47% (Sud-Est) și 70% (Sud).</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 xml:space="preserve">Următoarele modele (4 -8) se referă la comportamentul de consum, cu accent pe acele acțiuni care au impact pozitiv asupra reducerii consumului de energie. Șomerii sunt mai puțin probabil să folosească becuri economice (-19%), spre deosebire de cei din urbanul format din cvasi-comune (+25%) – </w:t>
      </w:r>
      <w:r w:rsidRPr="00EE57A6">
        <w:rPr>
          <w:rFonts w:ascii="Trebuchet MS" w:hAnsi="Trebuchet MS"/>
          <w:i/>
          <w:iCs/>
          <w:lang w:val="ro-RO"/>
        </w:rPr>
        <w:t>modelul 4</w:t>
      </w:r>
      <w:r w:rsidRPr="00EE57A6">
        <w:rPr>
          <w:rFonts w:ascii="Trebuchet MS" w:hAnsi="Trebuchet MS"/>
          <w:lang w:val="ro-RO"/>
        </w:rPr>
        <w:t xml:space="preserve">. Cei cu educație primară au probabilitate mai mică să folosească electrocasnice eficiente energetic din clasa A (-9%), spre deosebire de cei din urbanul mediu (+21%) – </w:t>
      </w:r>
      <w:r w:rsidRPr="00EE57A6">
        <w:rPr>
          <w:rFonts w:ascii="Trebuchet MS" w:hAnsi="Trebuchet MS"/>
          <w:i/>
          <w:iCs/>
          <w:lang w:val="ro-RO"/>
        </w:rPr>
        <w:t>modelul 5</w:t>
      </w:r>
      <w:r w:rsidRPr="00EE57A6">
        <w:rPr>
          <w:rFonts w:ascii="Trebuchet MS" w:hAnsi="Trebuchet MS"/>
          <w:lang w:val="ro-RO"/>
        </w:rPr>
        <w:t xml:space="preserve">. Cei mai în vârstă au o probabilitate mai mare să deconecteze aparatele electrocasnice atunci când nu le folosesc, spre deosebire de cei cu educație primară (-14%) și cei din restul regiunilor de dezvoltare comparativ cu Bucureștiul (-28% în Centru și -45% în Vest) – </w:t>
      </w:r>
      <w:r w:rsidRPr="00EE57A6">
        <w:rPr>
          <w:rFonts w:ascii="Trebuchet MS" w:hAnsi="Trebuchet MS"/>
          <w:i/>
          <w:iCs/>
          <w:lang w:val="ro-RO"/>
        </w:rPr>
        <w:t xml:space="preserve">modelul 6. </w:t>
      </w:r>
      <w:r w:rsidRPr="00EE57A6">
        <w:rPr>
          <w:rFonts w:ascii="Trebuchet MS" w:hAnsi="Trebuchet MS"/>
          <w:lang w:val="ro-RO"/>
        </w:rPr>
        <w:t>În modelele 7 și 8, nu vedem variații semnificative legate de factorii socio-demografici în explicarea folosirii altor acțiuni de reducere a consumului (</w:t>
      </w:r>
      <w:r w:rsidRPr="00EE57A6">
        <w:rPr>
          <w:rFonts w:ascii="Trebuchet MS" w:hAnsi="Trebuchet MS"/>
          <w:i/>
          <w:iCs/>
          <w:lang w:val="ro-RO"/>
        </w:rPr>
        <w:t>modelul 7</w:t>
      </w:r>
      <w:r w:rsidRPr="00EE57A6">
        <w:rPr>
          <w:rFonts w:ascii="Trebuchet MS" w:hAnsi="Trebuchet MS"/>
          <w:lang w:val="ro-RO"/>
        </w:rPr>
        <w:t>) sau în neluarea niciunei acțiuni de reducere a acestuia (</w:t>
      </w:r>
      <w:r w:rsidRPr="00EE57A6">
        <w:rPr>
          <w:rFonts w:ascii="Trebuchet MS" w:hAnsi="Trebuchet MS"/>
          <w:i/>
          <w:iCs/>
          <w:lang w:val="ro-RO"/>
        </w:rPr>
        <w:t>modelul 8</w:t>
      </w:r>
      <w:r w:rsidRPr="00EE57A6">
        <w:rPr>
          <w:rFonts w:ascii="Trebuchet MS" w:hAnsi="Trebuchet MS"/>
          <w:lang w:val="ro-RO"/>
        </w:rPr>
        <w:t>). Capacitatea variabilelor socio-demografice de a explica consumul ecologic de energie este redusă.</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Ce îi determină pe români să spună că o mare parte sau o parte destul de mare a venitului lunar al gospodăriei ajunge să fie alocată cheltuielilor cu energia? Vedem câteva răspunsuri în</w:t>
      </w:r>
      <w:r w:rsidRPr="00EE57A6">
        <w:rPr>
          <w:rFonts w:ascii="Trebuchet MS" w:hAnsi="Trebuchet MS"/>
          <w:i/>
          <w:iCs/>
          <w:lang w:val="ro-RO"/>
        </w:rPr>
        <w:t xml:space="preserve"> modelul 9</w:t>
      </w:r>
      <w:r w:rsidRPr="00EE57A6">
        <w:rPr>
          <w:rFonts w:ascii="Trebuchet MS" w:hAnsi="Trebuchet MS"/>
          <w:lang w:val="ro-RO"/>
        </w:rPr>
        <w:t>. Pe scurt, cei cu educație primară au o probabilitate mai mare cu 14% de a afirma acest lucru, alături de femei care au o probabilitate cu 7% mai mare decât bărbații de a împărtăși această opinie. În mod cert, rațiunile evaluării trebuie căutate în situația financiară a familiei, dar o analiză mai profundă nu poate avea loc în lipsa unor întrebări despre veniturile obiective sau subiective ale familiei. Din păcate, în România, sexul și educația devin uneori indicatori pentru situația materială precară.</w:t>
      </w:r>
    </w:p>
    <w:p w:rsidR="00FE69FE" w:rsidRPr="00EE57A6" w:rsidRDefault="00FE69FE" w:rsidP="00EE57A6">
      <w:pPr>
        <w:spacing w:after="0" w:line="360" w:lineRule="auto"/>
        <w:ind w:firstLine="567"/>
        <w:jc w:val="both"/>
        <w:rPr>
          <w:rFonts w:ascii="Trebuchet MS" w:hAnsi="Trebuchet MS"/>
          <w:lang w:val="ro-RO"/>
        </w:rPr>
      </w:pPr>
    </w:p>
    <w:p w:rsidR="00FE69FE" w:rsidRPr="00EE57A6" w:rsidRDefault="00FE69FE" w:rsidP="00EE57A6">
      <w:pPr>
        <w:spacing w:after="0" w:line="360" w:lineRule="auto"/>
        <w:ind w:firstLine="567"/>
        <w:jc w:val="both"/>
        <w:rPr>
          <w:rFonts w:ascii="Trebuchet MS" w:hAnsi="Trebuchet MS"/>
          <w:b/>
          <w:bCs/>
          <w:lang w:val="ro-RO"/>
        </w:rPr>
      </w:pPr>
      <w:r>
        <w:rPr>
          <w:rFonts w:ascii="Trebuchet MS" w:hAnsi="Trebuchet MS"/>
          <w:b/>
          <w:bCs/>
          <w:lang w:val="ro-RO"/>
        </w:rPr>
        <w:br w:type="page"/>
      </w:r>
      <w:r w:rsidRPr="00EE57A6">
        <w:rPr>
          <w:rFonts w:ascii="Trebuchet MS" w:hAnsi="Trebuchet MS"/>
          <w:b/>
          <w:bCs/>
          <w:lang w:val="ro-RO"/>
        </w:rPr>
        <w:t>Concluzii</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Prezenta analiză a căutat să se concentreze asupra comparației dintre percepțiile subiective și indicatorii naționali și europeni în privința accesului la energie. Patru scurte concluzii se impun.</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primul rând, în ciuda creșterii lungimii conductelor de gaze naturale, acest lucru este asociat, încurajator din perspectivă ecologică, cu scăderea consumului (deși aici avem variații semnificative la nivel subnațional). Totuși, accesul populației la rețeaua publică de gaze naturale rămâne limitat, ceea ce trebuie să facă obiectul unor dezbateri publice în contextul obiectivelor Noului Pact Ecologic European. Conform calculelor noastre, 43% dintre locuințe au acces la rețeaua publică de gaze naturale, în timp ce respondenții la sondaj raportează un procentaj de 50% (care dezvăluie o supraevaluare). Indiferent de cum privim aceste cifre, mai mult de jumătate din țară nu are acces la gaze naturale, iar o decizie de politică publică trebuie să se refere la următoarea alegere: fie demarăm un program național în acest caz (sau îl ducem la îndeplinire pe cel adoptat anul trecut prin OUG, care presupunea investiții de un miliard de euro până în 2029), fie găsim alte modalități mai eficiente energetic, mai prietenoase cu mediul și mai inclusive prin care să oferim românilor un confort energetic sporit.</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al doilea rând, problema încălzirii locuințelor trebuie să fie o mare temă de interes public. Așa cum arată datele obiective, doar maximum 12,5% dintre locuințe mai primesc agent termic prin sistemul centralizat, iar peste jumătate din această populație se află în București. Conform sondajului de opinie, care validează datele obiective, cifra este undeva la 10%. Încet, dar sigur, fără alte intervenții major, sistemul termic centralizat moare în România. În tot acest timp, 36,5% dintre români încă se încălzesc cu sobe cu lemne. Avem aici una dintre problemele economice, sociale și ecologice asupra căreia România trebuie să se concentreze în anii următori, dacă vrem să ne conformăm obiectivelor de dezvoltare durabilă legate de consumul de energie. O veste bună aici ține de faptul că, așa cum am văzut din rezultatele sondajului de opinie, românii sunt dispuși să adopte soluții de reducere a consumului de energie – astfel de comportamente trebuie promovate și încurajate.</w:t>
      </w:r>
    </w:p>
    <w:p w:rsidR="00FE69FE" w:rsidRPr="00EE57A6" w:rsidRDefault="00FE69FE" w:rsidP="00EE57A6">
      <w:pPr>
        <w:spacing w:after="0" w:line="360" w:lineRule="auto"/>
        <w:ind w:firstLine="567"/>
        <w:jc w:val="both"/>
        <w:rPr>
          <w:rFonts w:ascii="Trebuchet MS" w:hAnsi="Trebuchet MS"/>
          <w:lang w:val="ro-RO"/>
        </w:rPr>
      </w:pPr>
      <w:r w:rsidRPr="00EE57A6">
        <w:rPr>
          <w:rFonts w:ascii="Trebuchet MS" w:hAnsi="Trebuchet MS"/>
          <w:lang w:val="ro-RO"/>
        </w:rPr>
        <w:t>În al treilea rând, nu este foarte clar modul în care componenta de prețuri și cea energetică interacționează. Românii, în proporție de 71%, afirmă că o parte importantă a veniturilor lor merg către cheltuielile lunare cu energia, deși această evaluare nu este validată de datele INS, potrivit cărora sub 5% din cheltuielile medii ale unei familii merg lunar către această categorie de cheltuieli. În același timp, am putut vedea cum creșterea medie a prețurilor la energie în ultimii 21 ani a fost peste media creșterii generale a prețurilor, ceea ce este normal să trezească îngrijorare în special în rândul celor cu venituri scăzute. Pentru a face situația și mai complicată, respondenții în proporții majoritare se declară mulțumiți de costul facturii la energie electrică, la gaze naturale sau energie termică. Chiar dacă aici avem și un puternic efect de selecție – răspunde doar cine beneficiază (deci își permite) de aceste servicii, acest puzzle al felului în care se raportează românii la prețurile la energie, care comportă evident o doză de dezirabilitate socială, rămâne să fie rezolvat în viitor, eventual cu date care să faciliteze acest lucru.</w:t>
      </w:r>
    </w:p>
    <w:p w:rsidR="00FE69FE" w:rsidRPr="00C83058" w:rsidRDefault="00FE69FE" w:rsidP="00C83058">
      <w:pPr>
        <w:spacing w:after="0" w:line="360" w:lineRule="auto"/>
        <w:ind w:firstLine="567"/>
        <w:jc w:val="both"/>
        <w:rPr>
          <w:rFonts w:ascii="Trebuchet MS" w:hAnsi="Trebuchet MS"/>
          <w:lang w:val="ro-RO"/>
        </w:rPr>
      </w:pPr>
      <w:r w:rsidRPr="00EE57A6">
        <w:rPr>
          <w:rFonts w:ascii="Trebuchet MS" w:hAnsi="Trebuchet MS"/>
          <w:lang w:val="ro-RO"/>
        </w:rPr>
        <w:t>În ultimul rând, factorii socio-demografici au o putere explicativă redusă în a arăta felul în care se poziționează românii față de consumul de energie în diferitele sale forme, poate cu excepția întrebărilor factuale despre racordarea la sistemul de energie electrică, de livrare a gazelor naturale și a energiei termice. Avem nevoie de mai mulți indicatori comportamentali subiectivi și economici pentru a trece dincolo de această sincopă interpretativă, deși, până la urmă, și aceasta oferă ghidaj asupra direcțiilor viitoare de analiză.</w:t>
      </w:r>
    </w:p>
    <w:sectPr w:rsidR="00FE69FE" w:rsidRPr="00C83058" w:rsidSect="0024066D">
      <w:headerReference w:type="default" r:id="rId23"/>
      <w:footerReference w:type="default" r:id="rId24"/>
      <w:pgSz w:w="11906" w:h="16838"/>
      <w:pgMar w:top="720" w:right="1646" w:bottom="648"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9FE" w:rsidRDefault="00FE69FE">
      <w:pPr>
        <w:spacing w:after="0"/>
      </w:pPr>
      <w:r>
        <w:separator/>
      </w:r>
    </w:p>
  </w:endnote>
  <w:endnote w:type="continuationSeparator" w:id="0">
    <w:p w:rsidR="00FE69FE" w:rsidRDefault="00FE69F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9FE" w:rsidRDefault="00FE69FE">
    <w:pPr>
      <w:pStyle w:val="Footer"/>
      <w:rPr>
        <w:rFonts w:ascii="Trebuchet MS" w:hAnsi="Trebuchet MS"/>
        <w:i/>
        <w:iCs/>
        <w:color w:val="003399"/>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0" type="#_x0000_t75" style="position:absolute;margin-left:0;margin-top:-4.5pt;width:451.25pt;height:40.45pt;z-index:251662336;visibility:visible" wrapcoords="16971 0 -36 5200 -36 8800 10944 12800 16720 12800 9472 17600 9508 20000 10118 21200 10585 21200 10728 21200 11482 21200 17581 14000 19734 12800 21600 10000 21600 4000 17330 0 16971 0">
          <v:imagedata r:id="rId1" o:title=""/>
          <w10:wrap type="through"/>
        </v:shape>
      </w:pict>
    </w:r>
  </w:p>
  <w:p w:rsidR="00FE69FE" w:rsidRDefault="00FE69F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9FE" w:rsidRDefault="00FE69FE">
      <w:pPr>
        <w:spacing w:after="0"/>
      </w:pPr>
      <w:r>
        <w:rPr>
          <w:color w:val="000000"/>
        </w:rPr>
        <w:separator/>
      </w:r>
    </w:p>
  </w:footnote>
  <w:footnote w:type="continuationSeparator" w:id="0">
    <w:p w:rsidR="00FE69FE" w:rsidRDefault="00FE69FE">
      <w:pPr>
        <w:spacing w:after="0"/>
      </w:pPr>
      <w:r>
        <w:continuationSeparator/>
      </w:r>
    </w:p>
  </w:footnote>
  <w:footnote w:id="1">
    <w:p w:rsidR="00FE69FE" w:rsidRDefault="00FE69FE" w:rsidP="00EE57A6">
      <w:pPr>
        <w:pStyle w:val="FootnoteText"/>
        <w:jc w:val="both"/>
      </w:pPr>
      <w:r>
        <w:rPr>
          <w:rStyle w:val="FootnoteReference"/>
        </w:rPr>
        <w:footnoteRef/>
      </w:r>
      <w:r w:rsidRPr="00EE57A6">
        <w:rPr>
          <w:lang w:val="it-IT"/>
        </w:rPr>
        <w:t xml:space="preserve"> </w:t>
      </w:r>
      <w:r>
        <w:rPr>
          <w:lang w:val="ro-RO"/>
        </w:rPr>
        <w:t xml:space="preserve">Strategia Națională pentru Dezvoltarea Durabilă a României 2030, pagina 54, accesibilă la </w:t>
      </w:r>
      <w:hyperlink r:id="rId1" w:history="1">
        <w:r w:rsidRPr="005C581F">
          <w:rPr>
            <w:rStyle w:val="Hyperlink"/>
            <w:lang w:val="ro-RO"/>
          </w:rPr>
          <w:t>http://dezvoltaredurabila.gov.ro/web/wp-content/uploads/2020/10/Strategia-nationala-pentru-dezvoltarea-durabila-a-Romaniei-2030_002.pdf</w:t>
        </w:r>
      </w:hyperlink>
      <w:r>
        <w:rPr>
          <w:lang w:val="ro-RO"/>
        </w:rPr>
        <w:t xml:space="preserve"> (data accesării: 26/02/2021).</w:t>
      </w:r>
    </w:p>
  </w:footnote>
  <w:footnote w:id="2">
    <w:p w:rsidR="00FE69FE" w:rsidRDefault="00FE69FE" w:rsidP="00EE57A6">
      <w:pPr>
        <w:pStyle w:val="FootnoteText"/>
        <w:jc w:val="both"/>
      </w:pPr>
      <w:r>
        <w:rPr>
          <w:rStyle w:val="FootnoteReference"/>
        </w:rPr>
        <w:footnoteRef/>
      </w:r>
      <w:r w:rsidRPr="00EE57A6">
        <w:rPr>
          <w:lang w:val="it-IT"/>
        </w:rPr>
        <w:t xml:space="preserve"> </w:t>
      </w:r>
      <w:r w:rsidRPr="00092AFD">
        <w:rPr>
          <w:rFonts w:cs="Calibri"/>
          <w:lang w:val="ro-RO"/>
        </w:rPr>
        <w:t>Sondaj de opinie reprezentativ pentru populația adultă neinstituționalizată a României, realizat pe un eșantion de 1,00</w:t>
      </w:r>
      <w:r>
        <w:rPr>
          <w:rFonts w:cs="Calibri"/>
          <w:lang w:val="ro-RO"/>
        </w:rPr>
        <w:t>2</w:t>
      </w:r>
      <w:r w:rsidRPr="00092AFD">
        <w:rPr>
          <w:rFonts w:cs="Calibri"/>
          <w:lang w:val="ro-RO"/>
        </w:rPr>
        <w:t xml:space="preserve"> persoane, în perioada </w:t>
      </w:r>
      <w:r>
        <w:rPr>
          <w:rFonts w:cs="Calibri"/>
          <w:lang w:val="ro-RO"/>
        </w:rPr>
        <w:t xml:space="preserve">8 </w:t>
      </w:r>
      <w:r w:rsidRPr="00092AFD">
        <w:rPr>
          <w:rFonts w:cs="Calibri"/>
          <w:lang w:val="ro-RO"/>
        </w:rPr>
        <w:t>– 1</w:t>
      </w:r>
      <w:r>
        <w:rPr>
          <w:rFonts w:cs="Calibri"/>
          <w:lang w:val="ro-RO"/>
        </w:rPr>
        <w:t>8</w:t>
      </w:r>
      <w:r w:rsidRPr="00092AFD">
        <w:rPr>
          <w:rFonts w:cs="Calibri"/>
          <w:lang w:val="ro-RO"/>
        </w:rPr>
        <w:t xml:space="preserve"> </w:t>
      </w:r>
      <w:r>
        <w:rPr>
          <w:rFonts w:cs="Calibri"/>
          <w:lang w:val="ro-RO"/>
        </w:rPr>
        <w:t>decembrie</w:t>
      </w:r>
      <w:r w:rsidRPr="00092AFD">
        <w:rPr>
          <w:rFonts w:cs="Calibri"/>
          <w:lang w:val="ro-RO"/>
        </w:rPr>
        <w:t xml:space="preserve"> 2020. Eșantion stratificat bistadial cu selecție probabilistică a persoanelor. Datele au fost culese prin interviuri telefonice (CATI). Eroarea maximă de eșantionare, la un nivel de 95%, este de </w:t>
      </w:r>
      <w:r w:rsidRPr="00092AFD">
        <w:rPr>
          <w:rFonts w:cs="Calibri"/>
          <w:lang w:val="ro-RO"/>
        </w:rPr>
        <w:sym w:font="Symbol" w:char="F0B1"/>
      </w:r>
      <w:r w:rsidRPr="00092AFD">
        <w:rPr>
          <w:rFonts w:cs="Calibri"/>
          <w:lang w:val="ro-RO"/>
        </w:rPr>
        <w:t xml:space="preserve"> 3,2%.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 w:id="3">
    <w:p w:rsidR="00FE69FE" w:rsidRDefault="00FE69FE" w:rsidP="00EE57A6">
      <w:pPr>
        <w:pStyle w:val="FootnoteText"/>
        <w:jc w:val="both"/>
      </w:pPr>
      <w:r>
        <w:rPr>
          <w:rStyle w:val="FootnoteReference"/>
        </w:rPr>
        <w:footnoteRef/>
      </w:r>
      <w:r w:rsidRPr="00EE57A6">
        <w:rPr>
          <w:lang w:val="it-IT"/>
        </w:rPr>
        <w:t xml:space="preserve"> </w:t>
      </w:r>
      <w:r>
        <w:rPr>
          <w:lang w:val="ro-RO"/>
        </w:rPr>
        <w:t xml:space="preserve">Raportul este disponibil aici: </w:t>
      </w:r>
      <w:hyperlink r:id="rId2" w:history="1">
        <w:r w:rsidRPr="005C581F">
          <w:rPr>
            <w:rStyle w:val="Hyperlink"/>
            <w:lang w:val="ro-RO"/>
          </w:rPr>
          <w:t>https://www.anre.ro/ro/gaze-naturale/rapoarte/rapoarte-piata-gaze-naturale/rapoarte-lunare-de-monitorizare-pentru-piata-interna-de-gaze-naturale-2020</w:t>
        </w:r>
      </w:hyperlink>
      <w:r>
        <w:rPr>
          <w:lang w:val="ro-RO"/>
        </w:rPr>
        <w:t xml:space="preserve"> (Accesat: 26/02/2020).</w:t>
      </w:r>
    </w:p>
  </w:footnote>
  <w:footnote w:id="4">
    <w:p w:rsidR="00FE69FE" w:rsidRDefault="00FE69FE" w:rsidP="00EE57A6">
      <w:pPr>
        <w:pStyle w:val="FootnoteText"/>
        <w:jc w:val="both"/>
      </w:pPr>
      <w:r>
        <w:rPr>
          <w:rStyle w:val="FootnoteReference"/>
        </w:rPr>
        <w:footnoteRef/>
      </w:r>
      <w:r w:rsidRPr="00EE57A6">
        <w:rPr>
          <w:lang w:val="it-IT"/>
        </w:rPr>
        <w:t xml:space="preserve"> </w:t>
      </w:r>
      <w:r>
        <w:rPr>
          <w:lang w:val="ro-RO"/>
        </w:rPr>
        <w:t xml:space="preserve">Sursa informației este aici: </w:t>
      </w:r>
      <w:hyperlink r:id="rId3" w:history="1">
        <w:r w:rsidRPr="005C581F">
          <w:rPr>
            <w:rStyle w:val="Hyperlink"/>
            <w:lang w:val="ro-RO"/>
          </w:rPr>
          <w:t>https://ziare.com/economie/gaz/orban-numai-35-la-suta-din-populatie-e-racordata-la-reteaua-de-gaz-e-una-din-marile-probleme-ale-romaniei-1522310</w:t>
        </w:r>
      </w:hyperlink>
      <w:r>
        <w:rPr>
          <w:lang w:val="ro-RO"/>
        </w:rPr>
        <w:t xml:space="preserve"> (Accesat: 26/02/2020).</w:t>
      </w:r>
    </w:p>
  </w:footnote>
  <w:footnote w:id="5">
    <w:p w:rsidR="00FE69FE" w:rsidRDefault="00FE69FE" w:rsidP="00EE57A6">
      <w:pPr>
        <w:pStyle w:val="FootnoteText"/>
        <w:jc w:val="both"/>
      </w:pPr>
      <w:r>
        <w:rPr>
          <w:rStyle w:val="FootnoteReference"/>
        </w:rPr>
        <w:footnoteRef/>
      </w:r>
      <w:r w:rsidRPr="00EE57A6">
        <w:rPr>
          <w:lang w:val="it-IT"/>
        </w:rPr>
        <w:t xml:space="preserve"> </w:t>
      </w:r>
      <w:r>
        <w:rPr>
          <w:lang w:val="ro-RO"/>
        </w:rPr>
        <w:t>Sursa informației este aici:</w:t>
      </w:r>
      <w:r w:rsidRPr="00EE57A6">
        <w:rPr>
          <w:lang w:val="it-IT"/>
        </w:rPr>
        <w:t xml:space="preserve"> </w:t>
      </w:r>
      <w:hyperlink r:id="rId4" w:history="1">
        <w:r w:rsidRPr="005C581F">
          <w:rPr>
            <w:rStyle w:val="Hyperlink"/>
            <w:lang w:val="ro-RO"/>
          </w:rPr>
          <w:t>https://economie.hotnews.ro/stiri-energie-24177111-programul-national-racordare-populatiei-gaze-1-miliard-euro-pana-2027.htm</w:t>
        </w:r>
      </w:hyperlink>
      <w:r>
        <w:rPr>
          <w:lang w:val="ro-RO"/>
        </w:rPr>
        <w:t xml:space="preserve"> (Accesat: 26/02/2020).</w:t>
      </w:r>
    </w:p>
  </w:footnote>
  <w:footnote w:id="6">
    <w:p w:rsidR="00FE69FE" w:rsidRDefault="00FE69FE" w:rsidP="00EE57A6">
      <w:pPr>
        <w:pStyle w:val="FootnoteText"/>
        <w:jc w:val="both"/>
      </w:pPr>
      <w:r>
        <w:rPr>
          <w:rStyle w:val="FootnoteReference"/>
        </w:rPr>
        <w:footnoteRef/>
      </w:r>
      <w:r w:rsidRPr="00EE57A6">
        <w:rPr>
          <w:lang w:val="it-IT"/>
        </w:rPr>
        <w:t xml:space="preserve"> </w:t>
      </w:r>
      <w:r>
        <w:rPr>
          <w:lang w:val="ro-RO"/>
        </w:rPr>
        <w:t xml:space="preserve">Raportul este disponibil aici: </w:t>
      </w:r>
      <w:hyperlink r:id="rId5" w:history="1">
        <w:r w:rsidRPr="005C581F">
          <w:rPr>
            <w:rStyle w:val="Hyperlink"/>
            <w:lang w:val="ro-RO"/>
          </w:rPr>
          <w:t>https://www.anre.ro/ro/energie-electrica/legislatie/serviciul-public-de-alimentare-cu-energie-termica/raportul-privind-starea-serviciului-public-de-alimentare-cu-energie-termica-in-sistem-centralizat-pentru-anul-2019</w:t>
        </w:r>
      </w:hyperlink>
      <w:r>
        <w:rPr>
          <w:lang w:val="ro-RO"/>
        </w:rPr>
        <w:t xml:space="preserve"> (Accesat: 26/02/2020).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9FE" w:rsidRDefault="00FE69FE">
    <w:pPr>
      <w:pStyle w:val="Header"/>
      <w:jc w:val="center"/>
    </w:pPr>
    <w:r w:rsidRPr="00E25522">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6pt;height:46.2pt;visibility:visible">
          <v:imagedata r:id="rId1" o:title=""/>
        </v:shape>
      </w:pict>
    </w:r>
  </w:p>
  <w:p w:rsidR="00FE69FE" w:rsidRDefault="00FE69FE">
    <w:pPr>
      <w:pStyle w:val="Header"/>
      <w:jc w:val="center"/>
    </w:pPr>
    <w:r>
      <w:rPr>
        <w:noProof/>
      </w:rPr>
      <w:pict>
        <v:shapetype id="_x0000_t32" coordsize="21600,21600" o:spt="32" o:oned="t" path="m,l21600,21600e" filled="f">
          <v:path arrowok="t" fillok="f" o:connecttype="none"/>
          <o:lock v:ext="edit" shapetype="t"/>
        </v:shapetype>
        <v:shape id="Straight Connector 33" o:spid="_x0000_s2049" type="#_x0000_t32" style="position:absolute;left:0;text-align:left;margin-left:-.15pt;margin-top:8.65pt;width:513.75pt;height:.9pt;flip:y;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kgwAEAAGIDAAAOAAAAZHJzL2Uyb0RvYy54bWysU01v2zAMvQ/YfxB0X5w4TdoacXpI0F2G&#10;LUC33RVZsgXoC6QWJ/9+lJyl+7gNvciiyPdIPtKbp7Oz7KQATfAtX8zmnCkvQ2d83/JvX58/PHCG&#10;SfhO2OBVyy8K+dP2/bvNGBtVhyHYTgEjEo/NGFs+pBSbqkI5KCdwFqLy5NQBnEhkQl91IEZid7aq&#10;5/N1NQboIgSpEOl1Pzn5tvBrrWT6ojWqxGzLqbZUTijnMZ/VdiOaHkQcjLyWIf6jCieMp6Q3qr1I&#10;gv0A8w+VMxICBp1mMrgqaG2kKj1QN4v5X928DCKq0guJg/EmE74drfx8OgAzHc2O5PHC0YxeEgjT&#10;D4ntgvekYAC2XGalxogNAXb+AFcL4wFy22cNjmlr4nciKkJQa+xcdL7cdFbnxCQ9rlf13bq+50yS&#10;b7G4W5Y5VBNNpouA6aMKjuVLy/Fa0K2eKYU4fcJEhRDwFyCDfXg21pbBWs/GltcPq/sVJRO0X9qK&#10;VOrDYE2XAzMEoT/uLLCTyGsyXy4fH3O/RPxHWM6yFzhMccU1LZAzSWVJCGA9fbJQkzT5dgzdpShW&#10;3mmQJfC6dHlTfrcL+vXX2P4E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w3IkgwAEAAGIDAAAOAAAAAAAAAAAAAAAAAC4C&#10;AABkcnMvZTJvRG9jLnhtbFBLAQItABQABgAIAAAAIQCsiGYz3QAAAAgBAAAPAAAAAAAAAAAAAAAA&#10;ABoEAABkcnMvZG93bnJldi54bWxQSwUGAAAAAAQABADzAAAAJAUAAAAA&#10;" strokecolor="#039" strokeweight="2.25pt">
          <v:stroke joinstyle="miter"/>
          <w10:wrap anchorx="margin"/>
        </v:shape>
      </w:pict>
    </w:r>
  </w:p>
  <w:p w:rsidR="00FE69FE" w:rsidRDefault="00FE69FE">
    <w:pPr>
      <w:pStyle w:val="Header"/>
      <w:jc w:val="center"/>
      <w:rPr>
        <w:rFonts w:ascii="Trebuchet MS" w:hAnsi="Trebuchet MS"/>
        <w:sz w:val="16"/>
        <w:szCs w:val="16"/>
      </w:rPr>
    </w:pPr>
  </w:p>
  <w:p w:rsidR="00FE69FE" w:rsidRDefault="00FE69F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76B9"/>
    <w:multiLevelType w:val="hybridMultilevel"/>
    <w:tmpl w:val="33D28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1041D6B"/>
    <w:multiLevelType w:val="hybridMultilevel"/>
    <w:tmpl w:val="AB6A7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4D42BFD"/>
    <w:multiLevelType w:val="hybridMultilevel"/>
    <w:tmpl w:val="F1A28D14"/>
    <w:lvl w:ilvl="0" w:tplc="AD8C748E">
      <w:start w:val="2"/>
      <w:numFmt w:val="bullet"/>
      <w:lvlText w:val="-"/>
      <w:lvlJc w:val="left"/>
      <w:pPr>
        <w:ind w:left="927" w:hanging="360"/>
      </w:pPr>
      <w:rPr>
        <w:rFonts w:ascii="Calibri" w:eastAsia="Times New Roman" w:hAnsi="Calibri"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799E70E8"/>
    <w:multiLevelType w:val="hybridMultilevel"/>
    <w:tmpl w:val="8FE4A2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7D7E27A2"/>
    <w:multiLevelType w:val="hybridMultilevel"/>
    <w:tmpl w:val="6DFCF608"/>
    <w:lvl w:ilvl="0" w:tplc="EF7E4D14">
      <w:start w:val="2"/>
      <w:numFmt w:val="bullet"/>
      <w:lvlText w:val="-"/>
      <w:lvlJc w:val="left"/>
      <w:pPr>
        <w:ind w:left="1287" w:hanging="360"/>
      </w:pPr>
      <w:rPr>
        <w:rFonts w:ascii="Calibri" w:eastAsia="Times New Roman" w:hAnsi="Calibri"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50E3"/>
    <w:rsid w:val="00067FF5"/>
    <w:rsid w:val="0008287B"/>
    <w:rsid w:val="00085B1D"/>
    <w:rsid w:val="000874AF"/>
    <w:rsid w:val="00092AFD"/>
    <w:rsid w:val="000B3F11"/>
    <w:rsid w:val="00110267"/>
    <w:rsid w:val="00113B7B"/>
    <w:rsid w:val="00133D97"/>
    <w:rsid w:val="00150505"/>
    <w:rsid w:val="0017766D"/>
    <w:rsid w:val="00195B7B"/>
    <w:rsid w:val="001C0F78"/>
    <w:rsid w:val="001C52E9"/>
    <w:rsid w:val="001C6090"/>
    <w:rsid w:val="0024066D"/>
    <w:rsid w:val="00242CCB"/>
    <w:rsid w:val="00265A75"/>
    <w:rsid w:val="002770DD"/>
    <w:rsid w:val="00282839"/>
    <w:rsid w:val="002D6405"/>
    <w:rsid w:val="00303447"/>
    <w:rsid w:val="00383D41"/>
    <w:rsid w:val="00394B2C"/>
    <w:rsid w:val="003B03D8"/>
    <w:rsid w:val="003B6DCB"/>
    <w:rsid w:val="003E3582"/>
    <w:rsid w:val="004573D3"/>
    <w:rsid w:val="004856B0"/>
    <w:rsid w:val="004D2A9A"/>
    <w:rsid w:val="004E6CA1"/>
    <w:rsid w:val="004F390A"/>
    <w:rsid w:val="004F6811"/>
    <w:rsid w:val="00547997"/>
    <w:rsid w:val="00581958"/>
    <w:rsid w:val="00595318"/>
    <w:rsid w:val="005A6BC3"/>
    <w:rsid w:val="005C581F"/>
    <w:rsid w:val="005D6270"/>
    <w:rsid w:val="005E5534"/>
    <w:rsid w:val="006019AA"/>
    <w:rsid w:val="00602AA7"/>
    <w:rsid w:val="0062206B"/>
    <w:rsid w:val="0066302F"/>
    <w:rsid w:val="00677EBC"/>
    <w:rsid w:val="006A5E2C"/>
    <w:rsid w:val="006A7659"/>
    <w:rsid w:val="006C1741"/>
    <w:rsid w:val="00725F4E"/>
    <w:rsid w:val="00734A9E"/>
    <w:rsid w:val="00754CB3"/>
    <w:rsid w:val="00776651"/>
    <w:rsid w:val="007A6A3F"/>
    <w:rsid w:val="007B2073"/>
    <w:rsid w:val="007B539D"/>
    <w:rsid w:val="007F032D"/>
    <w:rsid w:val="00802053"/>
    <w:rsid w:val="00810592"/>
    <w:rsid w:val="008118E7"/>
    <w:rsid w:val="00823AB8"/>
    <w:rsid w:val="008524C8"/>
    <w:rsid w:val="00852758"/>
    <w:rsid w:val="00854C55"/>
    <w:rsid w:val="008647A6"/>
    <w:rsid w:val="008B080C"/>
    <w:rsid w:val="008B50F5"/>
    <w:rsid w:val="008C5286"/>
    <w:rsid w:val="00902F9F"/>
    <w:rsid w:val="009834AF"/>
    <w:rsid w:val="00992D12"/>
    <w:rsid w:val="009B52C8"/>
    <w:rsid w:val="009D17FE"/>
    <w:rsid w:val="009D6555"/>
    <w:rsid w:val="009F1567"/>
    <w:rsid w:val="009F73D2"/>
    <w:rsid w:val="00A112B3"/>
    <w:rsid w:val="00A15A0A"/>
    <w:rsid w:val="00A20C6F"/>
    <w:rsid w:val="00A3276B"/>
    <w:rsid w:val="00A4040C"/>
    <w:rsid w:val="00A53515"/>
    <w:rsid w:val="00AA6315"/>
    <w:rsid w:val="00AD473A"/>
    <w:rsid w:val="00B46875"/>
    <w:rsid w:val="00B724E8"/>
    <w:rsid w:val="00B978E1"/>
    <w:rsid w:val="00BA084E"/>
    <w:rsid w:val="00BD1904"/>
    <w:rsid w:val="00C122C5"/>
    <w:rsid w:val="00C15846"/>
    <w:rsid w:val="00C83058"/>
    <w:rsid w:val="00C87A17"/>
    <w:rsid w:val="00CA331B"/>
    <w:rsid w:val="00D12A1F"/>
    <w:rsid w:val="00D20601"/>
    <w:rsid w:val="00D20764"/>
    <w:rsid w:val="00D3085A"/>
    <w:rsid w:val="00D350E3"/>
    <w:rsid w:val="00D353D6"/>
    <w:rsid w:val="00D87B06"/>
    <w:rsid w:val="00D914A9"/>
    <w:rsid w:val="00DC4F65"/>
    <w:rsid w:val="00DD3600"/>
    <w:rsid w:val="00DF175C"/>
    <w:rsid w:val="00E04198"/>
    <w:rsid w:val="00E209A7"/>
    <w:rsid w:val="00E25522"/>
    <w:rsid w:val="00E27F11"/>
    <w:rsid w:val="00E306E2"/>
    <w:rsid w:val="00E41297"/>
    <w:rsid w:val="00E663CB"/>
    <w:rsid w:val="00EA4496"/>
    <w:rsid w:val="00ED74AB"/>
    <w:rsid w:val="00EE517C"/>
    <w:rsid w:val="00EE57A6"/>
    <w:rsid w:val="00F15CCA"/>
    <w:rsid w:val="00F83078"/>
    <w:rsid w:val="00F903C2"/>
    <w:rsid w:val="00F96AD5"/>
    <w:rsid w:val="00FB375B"/>
    <w:rsid w:val="00FD6061"/>
    <w:rsid w:val="00FE69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7A6"/>
    <w:pPr>
      <w:suppressAutoHyphens/>
      <w:autoSpaceDN w:val="0"/>
      <w:spacing w:after="160"/>
      <w:textAlignment w:val="baseline"/>
    </w:pPr>
  </w:style>
  <w:style w:type="paragraph" w:styleId="Heading1">
    <w:name w:val="heading 1"/>
    <w:basedOn w:val="NoSpacing"/>
    <w:next w:val="NoSpacing"/>
    <w:link w:val="Heading1Char"/>
    <w:uiPriority w:val="99"/>
    <w:qFormat/>
    <w:rsid w:val="00EE57A6"/>
    <w:pPr>
      <w:keepNext/>
      <w:keepLines/>
      <w:spacing w:before="240"/>
      <w:jc w:val="both"/>
      <w:outlineLvl w:val="0"/>
    </w:pPr>
    <w:rPr>
      <w:rFonts w:ascii="Times New Roman" w:eastAsia="Times New Roman" w:hAnsi="Times New Roman"/>
      <w:sz w:val="28"/>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57A6"/>
    <w:rPr>
      <w:rFonts w:eastAsia="Times New Roman" w:cs="Times New Roman"/>
      <w:sz w:val="32"/>
      <w:szCs w:val="32"/>
      <w:lang w:val="en-CA" w:eastAsia="en-US" w:bidi="ar-SA"/>
    </w:rPr>
  </w:style>
  <w:style w:type="paragraph" w:styleId="Header">
    <w:name w:val="header"/>
    <w:basedOn w:val="Normal"/>
    <w:link w:val="HeaderChar"/>
    <w:uiPriority w:val="99"/>
    <w:rsid w:val="008647A6"/>
    <w:pPr>
      <w:tabs>
        <w:tab w:val="center" w:pos="4680"/>
        <w:tab w:val="right" w:pos="9360"/>
      </w:tabs>
      <w:spacing w:after="0"/>
    </w:pPr>
  </w:style>
  <w:style w:type="character" w:customStyle="1" w:styleId="HeaderChar">
    <w:name w:val="Header Char"/>
    <w:basedOn w:val="DefaultParagraphFont"/>
    <w:link w:val="Header"/>
    <w:uiPriority w:val="99"/>
    <w:locked/>
    <w:rsid w:val="008647A6"/>
    <w:rPr>
      <w:rFonts w:cs="Times New Roman"/>
    </w:rPr>
  </w:style>
  <w:style w:type="paragraph" w:styleId="Footer">
    <w:name w:val="footer"/>
    <w:basedOn w:val="Normal"/>
    <w:link w:val="FooterChar"/>
    <w:uiPriority w:val="99"/>
    <w:rsid w:val="008647A6"/>
    <w:pPr>
      <w:tabs>
        <w:tab w:val="center" w:pos="4680"/>
        <w:tab w:val="right" w:pos="9360"/>
      </w:tabs>
      <w:spacing w:after="0"/>
    </w:pPr>
  </w:style>
  <w:style w:type="character" w:customStyle="1" w:styleId="FooterChar">
    <w:name w:val="Footer Char"/>
    <w:basedOn w:val="DefaultParagraphFont"/>
    <w:link w:val="Footer"/>
    <w:uiPriority w:val="99"/>
    <w:locked/>
    <w:rsid w:val="008647A6"/>
    <w:rPr>
      <w:rFonts w:cs="Times New Roman"/>
    </w:rPr>
  </w:style>
  <w:style w:type="paragraph" w:styleId="FootnoteText">
    <w:name w:val="footnote text"/>
    <w:basedOn w:val="Normal"/>
    <w:link w:val="FootnoteTextChar"/>
    <w:uiPriority w:val="99"/>
    <w:semiHidden/>
    <w:locked/>
    <w:rsid w:val="00394B2C"/>
    <w:pPr>
      <w:suppressAutoHyphens w:val="0"/>
      <w:autoSpaceDN/>
      <w:spacing w:after="0"/>
      <w:textAlignment w:val="auto"/>
    </w:pPr>
    <w:rPr>
      <w:sz w:val="20"/>
      <w:szCs w:val="20"/>
      <w:lang w:val="en-CA"/>
    </w:rPr>
  </w:style>
  <w:style w:type="character" w:customStyle="1" w:styleId="FootnoteTextChar">
    <w:name w:val="Footnote Text Char"/>
    <w:basedOn w:val="DefaultParagraphFont"/>
    <w:link w:val="FootnoteText"/>
    <w:uiPriority w:val="99"/>
    <w:semiHidden/>
    <w:locked/>
    <w:rsid w:val="00394B2C"/>
    <w:rPr>
      <w:rFonts w:ascii="Calibri" w:hAnsi="Calibri" w:cs="Times New Roman"/>
      <w:lang w:val="en-CA" w:eastAsia="en-US" w:bidi="ar-SA"/>
    </w:rPr>
  </w:style>
  <w:style w:type="character" w:styleId="FootnoteReference">
    <w:name w:val="footnote reference"/>
    <w:basedOn w:val="DefaultParagraphFont"/>
    <w:uiPriority w:val="99"/>
    <w:semiHidden/>
    <w:locked/>
    <w:rsid w:val="00394B2C"/>
    <w:rPr>
      <w:rFonts w:cs="Times New Roman"/>
      <w:vertAlign w:val="superscript"/>
    </w:rPr>
  </w:style>
  <w:style w:type="character" w:styleId="Hyperlink">
    <w:name w:val="Hyperlink"/>
    <w:basedOn w:val="DefaultParagraphFont"/>
    <w:uiPriority w:val="99"/>
    <w:locked/>
    <w:rsid w:val="00394B2C"/>
    <w:rPr>
      <w:rFonts w:cs="Times New Roman"/>
      <w:color w:val="0563C1"/>
      <w:u w:val="single"/>
    </w:rPr>
  </w:style>
  <w:style w:type="paragraph" w:styleId="NoSpacing">
    <w:name w:val="No Spacing"/>
    <w:uiPriority w:val="99"/>
    <w:qFormat/>
    <w:rsid w:val="00EE57A6"/>
    <w:rPr>
      <w:sz w:val="24"/>
      <w:szCs w:val="24"/>
      <w:lang w:val="en-CA"/>
    </w:rPr>
  </w:style>
  <w:style w:type="character" w:customStyle="1" w:styleId="UnresolvedMention">
    <w:name w:val="Unresolved Mention"/>
    <w:basedOn w:val="DefaultParagraphFont"/>
    <w:uiPriority w:val="99"/>
    <w:semiHidden/>
    <w:rsid w:val="00EE57A6"/>
    <w:rPr>
      <w:rFonts w:cs="Times New Roman"/>
      <w:color w:val="605E5C"/>
      <w:shd w:val="clear" w:color="auto" w:fill="E1DFDD"/>
    </w:rPr>
  </w:style>
  <w:style w:type="character" w:styleId="PageNumber">
    <w:name w:val="page number"/>
    <w:basedOn w:val="DefaultParagraphFont"/>
    <w:uiPriority w:val="99"/>
    <w:semiHidden/>
    <w:locked/>
    <w:rsid w:val="00EE57A6"/>
    <w:rPr>
      <w:rFonts w:cs="Times New Roman"/>
    </w:rPr>
  </w:style>
  <w:style w:type="paragraph" w:styleId="ListParagraph">
    <w:name w:val="List Paragraph"/>
    <w:basedOn w:val="Normal"/>
    <w:uiPriority w:val="99"/>
    <w:qFormat/>
    <w:rsid w:val="00EE57A6"/>
    <w:pPr>
      <w:suppressAutoHyphens w:val="0"/>
      <w:autoSpaceDN/>
      <w:spacing w:after="0"/>
      <w:ind w:left="720"/>
      <w:contextualSpacing/>
      <w:textAlignment w:val="auto"/>
    </w:pPr>
    <w:rPr>
      <w:sz w:val="24"/>
      <w:szCs w:val="24"/>
      <w:lang w:val="en-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ziare.com/economie/gaz/orban-numai-35-la-suta-din-populatie-e-racordata-la-reteaua-de-gaz-e-una-din-marile-probleme-ale-romaniei-1522310" TargetMode="External"/><Relationship Id="rId2" Type="http://schemas.openxmlformats.org/officeDocument/2006/relationships/hyperlink" Target="https://www.anre.ro/ro/gaze-naturale/rapoarte/rapoarte-piata-gaze-naturale/rapoarte-lunare-de-monitorizare-pentru-piata-interna-de-gaze-naturale-2020" TargetMode="External"/><Relationship Id="rId1" Type="http://schemas.openxmlformats.org/officeDocument/2006/relationships/hyperlink" Target="http://dezvoltaredurabila.gov.ro/web/wp-content/uploads/2020/10/Strategia-nationala-pentru-dezvoltarea-durabila-a-Romaniei-2030_002.pdf" TargetMode="External"/><Relationship Id="rId5" Type="http://schemas.openxmlformats.org/officeDocument/2006/relationships/hyperlink" Target="https://www.anre.ro/ro/energie-electrica/legislatie/serviciul-public-de-alimentare-cu-energie-termica/raportul-privind-starea-serviciului-public-de-alimentare-cu-energie-termica-in-sistem-centralizat-pentru-anul-2019" TargetMode="External"/><Relationship Id="rId4" Type="http://schemas.openxmlformats.org/officeDocument/2006/relationships/hyperlink" Target="https://economie.hotnews.ro/stiri-energie-24177111-programul-national-racordare-populatiei-gaze-1-miliard-euro-pana-2027.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TotalTime>
  <Pages>27</Pages>
  <Words>6168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Turambar</cp:lastModifiedBy>
  <cp:revision>39</cp:revision>
  <cp:lastPrinted>2019-09-23T07:10:00Z</cp:lastPrinted>
  <dcterms:created xsi:type="dcterms:W3CDTF">2019-09-23T06:58:00Z</dcterms:created>
  <dcterms:modified xsi:type="dcterms:W3CDTF">2021-03-08T19:17:00Z</dcterms:modified>
</cp:coreProperties>
</file>